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C0B3" w14:textId="63618F2A" w:rsidR="00971F23" w:rsidRPr="000809BF" w:rsidRDefault="00971F23" w:rsidP="00EB38ED">
      <w:pPr>
        <w:pageBreakBefore/>
        <w:tabs>
          <w:tab w:val="left" w:pos="567"/>
        </w:tabs>
        <w:spacing w:before="120"/>
        <w:jc w:val="center"/>
        <w:rPr>
          <w:rFonts w:cs="Arial"/>
          <w:b/>
          <w:szCs w:val="22"/>
        </w:rPr>
      </w:pPr>
      <w:r w:rsidRPr="000809BF">
        <w:rPr>
          <w:rFonts w:cs="Arial"/>
          <w:b/>
          <w:szCs w:val="22"/>
        </w:rPr>
        <w:t xml:space="preserve">Checkliste: </w:t>
      </w:r>
      <w:r w:rsidR="00EB38ED" w:rsidRPr="000809BF">
        <w:rPr>
          <w:rFonts w:cs="Arial"/>
          <w:b/>
          <w:szCs w:val="22"/>
        </w:rPr>
        <w:t xml:space="preserve">Ordnungsmäßigkeit Geschäftsführung </w:t>
      </w:r>
      <w:r w:rsidR="00EB38ED" w:rsidRPr="000809BF">
        <w:rPr>
          <w:rFonts w:cs="Arial"/>
          <w:b/>
          <w:szCs w:val="22"/>
        </w:rPr>
        <w:br/>
        <w:t>- hier Umgang mit gesetzlichen Neuerungen -</w:t>
      </w:r>
    </w:p>
    <w:p w14:paraId="1CAD5F9B" w14:textId="77777777" w:rsidR="00971F23" w:rsidRPr="000809BF" w:rsidRDefault="00971F23">
      <w:pPr>
        <w:tabs>
          <w:tab w:val="left" w:pos="567"/>
        </w:tabs>
        <w:spacing w:before="120"/>
        <w:rPr>
          <w:rFonts w:cs="Arial"/>
          <w:b/>
          <w:szCs w:val="22"/>
        </w:rPr>
      </w:pPr>
    </w:p>
    <w:p w14:paraId="42398936" w14:textId="21AD97AC" w:rsidR="00971F23" w:rsidRPr="000809BF" w:rsidRDefault="00971F23">
      <w:pPr>
        <w:tabs>
          <w:tab w:val="left" w:pos="567"/>
        </w:tabs>
        <w:spacing w:before="120"/>
        <w:jc w:val="both"/>
        <w:rPr>
          <w:rFonts w:cs="Arial"/>
          <w:szCs w:val="22"/>
        </w:rPr>
      </w:pPr>
      <w:r w:rsidRPr="000809BF">
        <w:rPr>
          <w:rFonts w:cs="Arial"/>
          <w:b/>
          <w:szCs w:val="22"/>
        </w:rPr>
        <w:t>Vorbemerkung:</w:t>
      </w:r>
      <w:r w:rsidRPr="000809BF">
        <w:rPr>
          <w:rFonts w:cs="Arial"/>
          <w:szCs w:val="22"/>
        </w:rPr>
        <w:t xml:space="preserve"> </w:t>
      </w:r>
    </w:p>
    <w:p w14:paraId="667F0616" w14:textId="1F041125" w:rsidR="00EB38ED" w:rsidRDefault="00EB38ED">
      <w:pPr>
        <w:tabs>
          <w:tab w:val="left" w:pos="567"/>
        </w:tabs>
        <w:spacing w:before="120"/>
        <w:jc w:val="both"/>
        <w:rPr>
          <w:rFonts w:cs="Arial"/>
          <w:szCs w:val="22"/>
        </w:rPr>
      </w:pPr>
      <w:r w:rsidRPr="000809BF">
        <w:rPr>
          <w:rFonts w:cs="Arial"/>
          <w:szCs w:val="22"/>
        </w:rPr>
        <w:t xml:space="preserve">Inhalt der Checkliste sind rechtliche Neuerungen (Gesetze, Verordnungen), bei denen die Erwartungshaltung besteht, dass sich der Vorstand mit der Rechtsnorm dokumentiert auseinandergesetzt hat. </w:t>
      </w:r>
    </w:p>
    <w:p w14:paraId="3451B688" w14:textId="77777777" w:rsidR="00971F23" w:rsidRPr="000809BF" w:rsidRDefault="00971F23">
      <w:pPr>
        <w:spacing w:before="120"/>
        <w:rPr>
          <w:rFonts w:cs="Arial"/>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851"/>
        <w:gridCol w:w="850"/>
        <w:gridCol w:w="3686"/>
      </w:tblGrid>
      <w:tr w:rsidR="00971F23" w:rsidRPr="000809BF" w14:paraId="4FEC0E3A" w14:textId="77777777" w:rsidTr="00EB38ED">
        <w:trPr>
          <w:cantSplit/>
          <w:tblHeader/>
        </w:trPr>
        <w:tc>
          <w:tcPr>
            <w:tcW w:w="4039" w:type="dxa"/>
            <w:tcBorders>
              <w:top w:val="single" w:sz="12" w:space="0" w:color="auto"/>
              <w:left w:val="single" w:sz="12" w:space="0" w:color="auto"/>
            </w:tcBorders>
          </w:tcPr>
          <w:p w14:paraId="3DD4580C" w14:textId="40679E61" w:rsidR="00971F23" w:rsidRPr="000809BF" w:rsidRDefault="00EB38ED">
            <w:pPr>
              <w:tabs>
                <w:tab w:val="left" w:pos="567"/>
              </w:tabs>
              <w:spacing w:before="120" w:after="120"/>
              <w:rPr>
                <w:rFonts w:cs="Arial"/>
                <w:b/>
                <w:szCs w:val="22"/>
              </w:rPr>
            </w:pPr>
            <w:r w:rsidRPr="000809BF">
              <w:rPr>
                <w:rFonts w:cs="Arial"/>
                <w:b/>
                <w:szCs w:val="22"/>
              </w:rPr>
              <w:t>Rechtsnorm</w:t>
            </w:r>
          </w:p>
        </w:tc>
        <w:tc>
          <w:tcPr>
            <w:tcW w:w="851" w:type="dxa"/>
            <w:tcBorders>
              <w:top w:val="single" w:sz="12" w:space="0" w:color="auto"/>
            </w:tcBorders>
          </w:tcPr>
          <w:p w14:paraId="164299A1" w14:textId="77777777" w:rsidR="00971F23" w:rsidRPr="000809BF" w:rsidRDefault="00256494">
            <w:pPr>
              <w:tabs>
                <w:tab w:val="left" w:pos="567"/>
              </w:tabs>
              <w:spacing w:before="120" w:after="120"/>
              <w:jc w:val="center"/>
              <w:rPr>
                <w:rFonts w:cs="Arial"/>
                <w:b/>
                <w:szCs w:val="22"/>
              </w:rPr>
            </w:pPr>
            <w:r w:rsidRPr="000809BF">
              <w:rPr>
                <w:rFonts w:cs="Arial"/>
                <w:b/>
                <w:szCs w:val="22"/>
              </w:rPr>
              <w:t>Ja</w:t>
            </w:r>
          </w:p>
        </w:tc>
        <w:tc>
          <w:tcPr>
            <w:tcW w:w="850" w:type="dxa"/>
            <w:tcBorders>
              <w:top w:val="single" w:sz="12" w:space="0" w:color="auto"/>
            </w:tcBorders>
          </w:tcPr>
          <w:p w14:paraId="140C8417" w14:textId="77777777" w:rsidR="00971F23" w:rsidRPr="000809BF" w:rsidRDefault="00256494">
            <w:pPr>
              <w:tabs>
                <w:tab w:val="left" w:pos="567"/>
              </w:tabs>
              <w:spacing w:before="120" w:after="120"/>
              <w:jc w:val="center"/>
              <w:rPr>
                <w:rFonts w:cs="Arial"/>
                <w:b/>
                <w:szCs w:val="22"/>
              </w:rPr>
            </w:pPr>
            <w:r w:rsidRPr="000809BF">
              <w:rPr>
                <w:rFonts w:cs="Arial"/>
                <w:b/>
                <w:szCs w:val="22"/>
              </w:rPr>
              <w:t>Nein</w:t>
            </w:r>
          </w:p>
        </w:tc>
        <w:tc>
          <w:tcPr>
            <w:tcW w:w="3686" w:type="dxa"/>
            <w:tcBorders>
              <w:top w:val="single" w:sz="12" w:space="0" w:color="auto"/>
              <w:right w:val="single" w:sz="12" w:space="0" w:color="auto"/>
            </w:tcBorders>
          </w:tcPr>
          <w:p w14:paraId="3F342E96" w14:textId="31E50F79" w:rsidR="00971F23" w:rsidRPr="000809BF" w:rsidRDefault="00971F23">
            <w:pPr>
              <w:tabs>
                <w:tab w:val="left" w:pos="567"/>
              </w:tabs>
              <w:spacing w:before="120" w:after="120"/>
              <w:rPr>
                <w:rFonts w:cs="Arial"/>
                <w:b/>
                <w:szCs w:val="22"/>
              </w:rPr>
            </w:pPr>
            <w:r w:rsidRPr="000809BF">
              <w:rPr>
                <w:rFonts w:cs="Arial"/>
                <w:b/>
                <w:szCs w:val="22"/>
              </w:rPr>
              <w:t xml:space="preserve">Bemerkungen, Gesprächspartner, </w:t>
            </w:r>
            <w:r w:rsidR="00EB38ED" w:rsidRPr="000809BF">
              <w:rPr>
                <w:rFonts w:cs="Arial"/>
                <w:b/>
                <w:szCs w:val="22"/>
              </w:rPr>
              <w:br/>
            </w:r>
            <w:r w:rsidRPr="000809BF">
              <w:rPr>
                <w:rFonts w:cs="Arial"/>
                <w:b/>
                <w:szCs w:val="22"/>
              </w:rPr>
              <w:t>Ergebnisse</w:t>
            </w:r>
          </w:p>
        </w:tc>
      </w:tr>
      <w:tr w:rsidR="00971F23" w:rsidRPr="00F20D09" w14:paraId="3472CB46" w14:textId="77777777" w:rsidTr="00EB38ED">
        <w:trPr>
          <w:cantSplit/>
        </w:trPr>
        <w:tc>
          <w:tcPr>
            <w:tcW w:w="4039" w:type="dxa"/>
            <w:tcBorders>
              <w:left w:val="single" w:sz="12" w:space="0" w:color="auto"/>
            </w:tcBorders>
          </w:tcPr>
          <w:p w14:paraId="2826D485" w14:textId="77777777" w:rsidR="001D6A38" w:rsidRPr="001D6A38" w:rsidRDefault="00F43A4C">
            <w:pPr>
              <w:numPr>
                <w:ilvl w:val="0"/>
                <w:numId w:val="2"/>
              </w:numPr>
              <w:tabs>
                <w:tab w:val="left" w:pos="567"/>
              </w:tabs>
              <w:spacing w:before="120"/>
              <w:rPr>
                <w:rFonts w:cs="Arial"/>
              </w:rPr>
            </w:pPr>
            <w:r w:rsidRPr="00421427">
              <w:rPr>
                <w:rFonts w:cs="Arial"/>
                <w:b/>
                <w:bCs/>
              </w:rPr>
              <w:t>CO2 KostAufG</w:t>
            </w:r>
            <w:r w:rsidR="00971F23" w:rsidRPr="00421427">
              <w:rPr>
                <w:rFonts w:cs="Arial"/>
                <w:b/>
                <w:bCs/>
              </w:rPr>
              <w:t>?</w:t>
            </w:r>
          </w:p>
          <w:p w14:paraId="0399ED14" w14:textId="1E225F84" w:rsidR="00971F23" w:rsidRDefault="00F43A4C" w:rsidP="00EF0E58">
            <w:pPr>
              <w:tabs>
                <w:tab w:val="left" w:pos="567"/>
              </w:tabs>
              <w:spacing w:before="120"/>
              <w:ind w:left="360"/>
              <w:rPr>
                <w:rFonts w:cs="Arial"/>
                <w:szCs w:val="22"/>
              </w:rPr>
            </w:pPr>
            <w:r w:rsidRPr="00421427">
              <w:rPr>
                <w:rFonts w:cs="Arial"/>
                <w:szCs w:val="22"/>
              </w:rPr>
              <w:t>Liegt eine Dokumentation bzgl. eines möglichen Rückstellungserfordernisses vor</w:t>
            </w:r>
            <w:r w:rsidR="001D6A38">
              <w:rPr>
                <w:rFonts w:cs="Arial"/>
                <w:szCs w:val="22"/>
              </w:rPr>
              <w:t>?</w:t>
            </w:r>
          </w:p>
          <w:p w14:paraId="5C2A7960" w14:textId="77777777" w:rsidR="00833F72" w:rsidRDefault="00EF0E58" w:rsidP="00EF0E58">
            <w:pPr>
              <w:tabs>
                <w:tab w:val="left" w:pos="567"/>
              </w:tabs>
              <w:spacing w:before="120"/>
              <w:ind w:left="360"/>
              <w:rPr>
                <w:rFonts w:cs="Arial"/>
                <w:i/>
                <w:iCs/>
                <w:sz w:val="18"/>
                <w:szCs w:val="18"/>
              </w:rPr>
            </w:pPr>
            <w:r>
              <w:rPr>
                <w:rFonts w:cs="Arial"/>
                <w:i/>
                <w:iCs/>
                <w:sz w:val="18"/>
                <w:szCs w:val="18"/>
              </w:rPr>
              <w:t xml:space="preserve">Erwartungshaltung ist, dass eine Dokumentation vorliegt, ob ein Rückstellungserfordernis dem Grunde nach gegeben ist. Dies wäre zu bejahen, </w:t>
            </w:r>
            <w:r w:rsidR="00833F72">
              <w:rPr>
                <w:rFonts w:cs="Arial"/>
                <w:i/>
                <w:iCs/>
                <w:sz w:val="18"/>
                <w:szCs w:val="18"/>
              </w:rPr>
              <w:t>wenn Energieverträge direkt zwischen</w:t>
            </w:r>
            <w:r>
              <w:rPr>
                <w:rFonts w:cs="Arial"/>
                <w:i/>
                <w:iCs/>
                <w:sz w:val="18"/>
                <w:szCs w:val="18"/>
              </w:rPr>
              <w:t xml:space="preserve"> Mieter</w:t>
            </w:r>
            <w:r w:rsidR="00833F72">
              <w:rPr>
                <w:rFonts w:cs="Arial"/>
                <w:i/>
                <w:iCs/>
                <w:sz w:val="18"/>
                <w:szCs w:val="18"/>
              </w:rPr>
              <w:t>n</w:t>
            </w:r>
            <w:r>
              <w:rPr>
                <w:rFonts w:cs="Arial"/>
                <w:i/>
                <w:iCs/>
                <w:sz w:val="18"/>
                <w:szCs w:val="18"/>
              </w:rPr>
              <w:t xml:space="preserve"> </w:t>
            </w:r>
            <w:r w:rsidR="00833F72">
              <w:rPr>
                <w:rFonts w:cs="Arial"/>
                <w:i/>
                <w:iCs/>
                <w:sz w:val="18"/>
                <w:szCs w:val="18"/>
              </w:rPr>
              <w:t>und</w:t>
            </w:r>
            <w:r>
              <w:rPr>
                <w:rFonts w:cs="Arial"/>
                <w:i/>
                <w:iCs/>
                <w:sz w:val="18"/>
                <w:szCs w:val="18"/>
              </w:rPr>
              <w:t xml:space="preserve"> Versorgern </w:t>
            </w:r>
            <w:r w:rsidR="00833F72">
              <w:rPr>
                <w:rFonts w:cs="Arial"/>
                <w:i/>
                <w:iCs/>
                <w:sz w:val="18"/>
                <w:szCs w:val="18"/>
              </w:rPr>
              <w:t xml:space="preserve">geschlossen sind; in diesen Fällen kann der Mieter an den Vermieter herantreten und Erstattung der auf den Vermieter entfallenden CO2-Kosten verlangen. </w:t>
            </w:r>
          </w:p>
          <w:p w14:paraId="3ADCD3E2" w14:textId="7B9997E9" w:rsidR="00EF0E58" w:rsidRPr="00EF0E58" w:rsidRDefault="00833F72" w:rsidP="00EF0E58">
            <w:pPr>
              <w:tabs>
                <w:tab w:val="left" w:pos="567"/>
              </w:tabs>
              <w:spacing w:before="120"/>
              <w:ind w:left="360"/>
              <w:rPr>
                <w:rFonts w:cs="Arial"/>
                <w:i/>
                <w:iCs/>
                <w:sz w:val="18"/>
                <w:szCs w:val="18"/>
              </w:rPr>
            </w:pPr>
            <w:r w:rsidRPr="00833F72">
              <w:rPr>
                <w:rFonts w:cs="Arial"/>
                <w:i/>
                <w:iCs/>
                <w:sz w:val="18"/>
                <w:szCs w:val="18"/>
                <w:u w:val="single"/>
              </w:rPr>
              <w:t>Sofern ein Rückstellungserfordernis dem Grunde nach besteht</w:t>
            </w:r>
            <w:r>
              <w:rPr>
                <w:rFonts w:cs="Arial"/>
                <w:i/>
                <w:iCs/>
                <w:sz w:val="18"/>
                <w:szCs w:val="18"/>
              </w:rPr>
              <w:t xml:space="preserve">, sind Annahmen bzgl. der möglichen Höhe der Rückstellung zu dokumentieren. </w:t>
            </w:r>
          </w:p>
          <w:p w14:paraId="2DAC7250" w14:textId="77777777" w:rsidR="00833F72" w:rsidRDefault="00BF3273" w:rsidP="00BF3273">
            <w:pPr>
              <w:tabs>
                <w:tab w:val="left" w:pos="567"/>
              </w:tabs>
              <w:spacing w:before="120"/>
              <w:ind w:left="360"/>
              <w:rPr>
                <w:rFonts w:cs="Arial"/>
              </w:rPr>
            </w:pPr>
            <w:r>
              <w:rPr>
                <w:rFonts w:cs="Arial"/>
              </w:rPr>
              <w:t xml:space="preserve">Liegt eine </w:t>
            </w:r>
            <w:r w:rsidR="001058F5">
              <w:rPr>
                <w:rFonts w:cs="Arial"/>
              </w:rPr>
              <w:t xml:space="preserve">nachvollziehbare </w:t>
            </w:r>
            <w:r>
              <w:rPr>
                <w:rFonts w:cs="Arial"/>
              </w:rPr>
              <w:t xml:space="preserve">Dokumentation vor, in welcher Höhe von nicht umlagefähigen BK ausgegangen wird? </w:t>
            </w:r>
          </w:p>
          <w:p w14:paraId="46C42A7B" w14:textId="77777777" w:rsidR="00BF3273" w:rsidRDefault="00833F72" w:rsidP="00BF3273">
            <w:pPr>
              <w:tabs>
                <w:tab w:val="left" w:pos="567"/>
              </w:tabs>
              <w:spacing w:before="120"/>
              <w:ind w:left="360"/>
              <w:rPr>
                <w:rFonts w:cs="Arial"/>
                <w:i/>
                <w:iCs/>
                <w:sz w:val="18"/>
                <w:szCs w:val="18"/>
              </w:rPr>
            </w:pPr>
            <w:r>
              <w:rPr>
                <w:rFonts w:cs="Arial"/>
                <w:i/>
                <w:iCs/>
                <w:sz w:val="18"/>
                <w:szCs w:val="18"/>
              </w:rPr>
              <w:t xml:space="preserve">Dies betrifft die Sachverhalte, bei denen Energieverträge direkt zwischen Vermieter und Versorger geschlossen sind. Die </w:t>
            </w:r>
            <w:r w:rsidR="00BF3273" w:rsidRPr="00833F72">
              <w:rPr>
                <w:rFonts w:cs="Arial"/>
                <w:i/>
                <w:iCs/>
                <w:sz w:val="18"/>
                <w:szCs w:val="18"/>
              </w:rPr>
              <w:t>CO2-Kosten des Vermieters sind nicht umlagefähig.</w:t>
            </w:r>
          </w:p>
          <w:p w14:paraId="55ECA90E" w14:textId="77777777" w:rsidR="00CB4868" w:rsidRPr="00CB4868" w:rsidRDefault="00CB4868" w:rsidP="00CB4868">
            <w:pPr>
              <w:rPr>
                <w:rFonts w:cs="Arial"/>
              </w:rPr>
            </w:pPr>
          </w:p>
          <w:p w14:paraId="6E147149" w14:textId="77777777" w:rsidR="00CB4868" w:rsidRPr="00CB4868" w:rsidRDefault="00CB4868" w:rsidP="00CB4868">
            <w:pPr>
              <w:rPr>
                <w:rFonts w:cs="Arial"/>
              </w:rPr>
            </w:pPr>
          </w:p>
          <w:p w14:paraId="51A19A3C" w14:textId="77777777" w:rsidR="00CB4868" w:rsidRPr="00CB4868" w:rsidRDefault="00CB4868" w:rsidP="00CB4868">
            <w:pPr>
              <w:rPr>
                <w:rFonts w:cs="Arial"/>
              </w:rPr>
            </w:pPr>
          </w:p>
          <w:p w14:paraId="7C616615" w14:textId="77777777" w:rsidR="00CB4868" w:rsidRPr="00CB4868" w:rsidRDefault="00CB4868" w:rsidP="00CB4868">
            <w:pPr>
              <w:rPr>
                <w:rFonts w:cs="Arial"/>
              </w:rPr>
            </w:pPr>
          </w:p>
          <w:p w14:paraId="7F3E3055" w14:textId="77777777" w:rsidR="00CB4868" w:rsidRPr="00CB4868" w:rsidRDefault="00CB4868" w:rsidP="00CB4868">
            <w:pPr>
              <w:rPr>
                <w:rFonts w:cs="Arial"/>
              </w:rPr>
            </w:pPr>
          </w:p>
          <w:p w14:paraId="67D7E3A5" w14:textId="77777777" w:rsidR="00CB4868" w:rsidRPr="00CB4868" w:rsidRDefault="00CB4868" w:rsidP="00CB4868">
            <w:pPr>
              <w:rPr>
                <w:rFonts w:cs="Arial"/>
              </w:rPr>
            </w:pPr>
          </w:p>
          <w:p w14:paraId="57DA5CDD" w14:textId="77777777" w:rsidR="00CB4868" w:rsidRPr="00CB4868" w:rsidRDefault="00CB4868" w:rsidP="00CB4868">
            <w:pPr>
              <w:rPr>
                <w:rFonts w:cs="Arial"/>
              </w:rPr>
            </w:pPr>
          </w:p>
          <w:p w14:paraId="2531ABEC" w14:textId="77777777" w:rsidR="00CB4868" w:rsidRPr="00CB4868" w:rsidRDefault="00CB4868" w:rsidP="00CB4868">
            <w:pPr>
              <w:rPr>
                <w:rFonts w:cs="Arial"/>
              </w:rPr>
            </w:pPr>
          </w:p>
          <w:p w14:paraId="17BE9AB3" w14:textId="77777777" w:rsidR="00CB4868" w:rsidRPr="00CB4868" w:rsidRDefault="00CB4868" w:rsidP="00CB4868">
            <w:pPr>
              <w:rPr>
                <w:rFonts w:cs="Arial"/>
              </w:rPr>
            </w:pPr>
          </w:p>
          <w:p w14:paraId="18B8BE8A" w14:textId="77777777" w:rsidR="00CB4868" w:rsidRPr="00CB4868" w:rsidRDefault="00CB4868" w:rsidP="00CB4868">
            <w:pPr>
              <w:rPr>
                <w:rFonts w:cs="Arial"/>
              </w:rPr>
            </w:pPr>
          </w:p>
          <w:p w14:paraId="79EC5E1E" w14:textId="77777777" w:rsidR="00CB4868" w:rsidRPr="00CB4868" w:rsidRDefault="00CB4868" w:rsidP="00CB4868">
            <w:pPr>
              <w:rPr>
                <w:rFonts w:cs="Arial"/>
              </w:rPr>
            </w:pPr>
          </w:p>
          <w:p w14:paraId="6525576E" w14:textId="77777777" w:rsidR="00CB4868" w:rsidRPr="00CB4868" w:rsidRDefault="00CB4868" w:rsidP="00CB4868">
            <w:pPr>
              <w:rPr>
                <w:rFonts w:cs="Arial"/>
              </w:rPr>
            </w:pPr>
          </w:p>
          <w:p w14:paraId="3972BB4B" w14:textId="77777777" w:rsidR="00CB4868" w:rsidRPr="00CB4868" w:rsidRDefault="00CB4868" w:rsidP="00CB4868">
            <w:pPr>
              <w:rPr>
                <w:rFonts w:cs="Arial"/>
              </w:rPr>
            </w:pPr>
          </w:p>
          <w:p w14:paraId="591C5A26" w14:textId="77777777" w:rsidR="00CB4868" w:rsidRPr="00CB4868" w:rsidRDefault="00CB4868" w:rsidP="00CB4868">
            <w:pPr>
              <w:rPr>
                <w:rFonts w:cs="Arial"/>
              </w:rPr>
            </w:pPr>
          </w:p>
          <w:p w14:paraId="3D557EC9" w14:textId="77777777" w:rsidR="00CB4868" w:rsidRPr="00CB4868" w:rsidRDefault="00CB4868" w:rsidP="00CB4868">
            <w:pPr>
              <w:rPr>
                <w:rFonts w:cs="Arial"/>
              </w:rPr>
            </w:pPr>
          </w:p>
          <w:p w14:paraId="796B21CD" w14:textId="178CF35C" w:rsidR="00CB4868" w:rsidRPr="00CB4868" w:rsidRDefault="00CB4868" w:rsidP="00CB4868">
            <w:pPr>
              <w:rPr>
                <w:rFonts w:cs="Arial"/>
              </w:rPr>
            </w:pPr>
          </w:p>
        </w:tc>
        <w:tc>
          <w:tcPr>
            <w:tcW w:w="851" w:type="dxa"/>
          </w:tcPr>
          <w:p w14:paraId="1DFCB048" w14:textId="77777777" w:rsidR="00971F23" w:rsidRPr="00F20D09" w:rsidRDefault="00971F23">
            <w:pPr>
              <w:tabs>
                <w:tab w:val="left" w:pos="567"/>
              </w:tabs>
              <w:spacing w:before="120"/>
              <w:jc w:val="center"/>
              <w:rPr>
                <w:rFonts w:ascii="Sparkasse Rg" w:hAnsi="Sparkasse Rg"/>
              </w:rPr>
            </w:pPr>
          </w:p>
        </w:tc>
        <w:tc>
          <w:tcPr>
            <w:tcW w:w="850" w:type="dxa"/>
          </w:tcPr>
          <w:p w14:paraId="020388E9" w14:textId="77777777" w:rsidR="00971F23" w:rsidRPr="00F20D09" w:rsidRDefault="00971F23">
            <w:pPr>
              <w:tabs>
                <w:tab w:val="left" w:pos="567"/>
              </w:tabs>
              <w:spacing w:before="120"/>
              <w:jc w:val="center"/>
              <w:rPr>
                <w:rFonts w:ascii="Sparkasse Rg" w:hAnsi="Sparkasse Rg"/>
              </w:rPr>
            </w:pPr>
          </w:p>
        </w:tc>
        <w:tc>
          <w:tcPr>
            <w:tcW w:w="3686" w:type="dxa"/>
            <w:tcBorders>
              <w:right w:val="single" w:sz="12" w:space="0" w:color="auto"/>
            </w:tcBorders>
          </w:tcPr>
          <w:p w14:paraId="5CA80273" w14:textId="77777777" w:rsidR="00971F23" w:rsidRPr="00F20D09" w:rsidRDefault="00971F23">
            <w:pPr>
              <w:tabs>
                <w:tab w:val="left" w:pos="567"/>
              </w:tabs>
              <w:spacing w:before="120"/>
              <w:rPr>
                <w:rFonts w:ascii="Sparkasse Rg" w:hAnsi="Sparkasse Rg"/>
              </w:rPr>
            </w:pPr>
          </w:p>
        </w:tc>
      </w:tr>
      <w:tr w:rsidR="00EB38ED" w:rsidRPr="00F20D09" w14:paraId="3D6FC384" w14:textId="77777777" w:rsidTr="00EB38ED">
        <w:trPr>
          <w:cantSplit/>
        </w:trPr>
        <w:tc>
          <w:tcPr>
            <w:tcW w:w="4039" w:type="dxa"/>
            <w:tcBorders>
              <w:left w:val="single" w:sz="12" w:space="0" w:color="auto"/>
            </w:tcBorders>
          </w:tcPr>
          <w:p w14:paraId="0CEA2224" w14:textId="45BB932E" w:rsidR="00FF5481" w:rsidRPr="00C409E0" w:rsidRDefault="00FF5481" w:rsidP="00256494">
            <w:pPr>
              <w:numPr>
                <w:ilvl w:val="0"/>
                <w:numId w:val="2"/>
              </w:numPr>
              <w:tabs>
                <w:tab w:val="left" w:pos="567"/>
              </w:tabs>
              <w:spacing w:before="120"/>
              <w:rPr>
                <w:rFonts w:cs="Arial"/>
                <w:b/>
                <w:bCs/>
              </w:rPr>
            </w:pPr>
            <w:r w:rsidRPr="00C409E0">
              <w:rPr>
                <w:rFonts w:cs="Arial"/>
                <w:b/>
                <w:bCs/>
              </w:rPr>
              <w:lastRenderedPageBreak/>
              <w:t>§ 26 Abs. 3 EW</w:t>
            </w:r>
            <w:r w:rsidR="00857610">
              <w:rPr>
                <w:rFonts w:cs="Arial"/>
                <w:b/>
                <w:bCs/>
              </w:rPr>
              <w:t>PBG</w:t>
            </w:r>
            <w:r w:rsidR="001D6A38">
              <w:rPr>
                <w:rFonts w:cs="Arial"/>
                <w:b/>
                <w:bCs/>
              </w:rPr>
              <w:t xml:space="preserve"> </w:t>
            </w:r>
            <w:r w:rsidRPr="00C409E0">
              <w:rPr>
                <w:rFonts w:cs="Arial"/>
                <w:b/>
                <w:bCs/>
              </w:rPr>
              <w:t>- Informationspflichten bezüglich Preisbremsen</w:t>
            </w:r>
            <w:r w:rsidR="00942C35" w:rsidRPr="00C409E0">
              <w:rPr>
                <w:rFonts w:cs="Arial"/>
                <w:b/>
                <w:bCs/>
              </w:rPr>
              <w:t xml:space="preserve"> </w:t>
            </w:r>
          </w:p>
          <w:p w14:paraId="5A020D7A" w14:textId="67059E45" w:rsidR="00857610" w:rsidRDefault="001D6A38" w:rsidP="00FF5481">
            <w:pPr>
              <w:tabs>
                <w:tab w:val="left" w:pos="567"/>
              </w:tabs>
              <w:spacing w:before="120"/>
              <w:ind w:left="360"/>
              <w:rPr>
                <w:rFonts w:cs="Arial"/>
              </w:rPr>
            </w:pPr>
            <w:r w:rsidRPr="001D6A38">
              <w:rPr>
                <w:rFonts w:cs="Arial"/>
              </w:rPr>
              <w:t xml:space="preserve">Erfolgte </w:t>
            </w:r>
            <w:r>
              <w:rPr>
                <w:rFonts w:cs="Arial"/>
              </w:rPr>
              <w:t xml:space="preserve">nach Vorliegen der entsprechenden Informationen </w:t>
            </w:r>
            <w:r w:rsidRPr="001D6A38">
              <w:rPr>
                <w:rFonts w:cs="Arial"/>
              </w:rPr>
              <w:t xml:space="preserve">unverzüglich eine </w:t>
            </w:r>
            <w:r>
              <w:rPr>
                <w:rFonts w:cs="Arial"/>
              </w:rPr>
              <w:t>Unterrichtung</w:t>
            </w:r>
            <w:r w:rsidRPr="001D6A38">
              <w:rPr>
                <w:rFonts w:cs="Arial"/>
              </w:rPr>
              <w:t xml:space="preserve"> der Mieter </w:t>
            </w:r>
            <w:r>
              <w:rPr>
                <w:rFonts w:cs="Arial"/>
              </w:rPr>
              <w:t>gemäß den</w:t>
            </w:r>
            <w:r w:rsidRPr="001D6A38">
              <w:rPr>
                <w:rFonts w:cs="Arial"/>
              </w:rPr>
              <w:t xml:space="preserve"> rechtlichen Vorgaben? </w:t>
            </w:r>
          </w:p>
          <w:p w14:paraId="755C836D" w14:textId="052A0A2F" w:rsidR="001058F5" w:rsidRPr="006807DC" w:rsidRDefault="006807DC" w:rsidP="00FF5481">
            <w:pPr>
              <w:tabs>
                <w:tab w:val="left" w:pos="567"/>
              </w:tabs>
              <w:spacing w:before="120"/>
              <w:ind w:left="360"/>
              <w:rPr>
                <w:rFonts w:cs="Arial"/>
                <w:i/>
                <w:iCs/>
                <w:sz w:val="18"/>
                <w:szCs w:val="18"/>
              </w:rPr>
            </w:pPr>
            <w:r w:rsidRPr="006807DC">
              <w:rPr>
                <w:rFonts w:cs="Arial"/>
                <w:i/>
                <w:iCs/>
                <w:sz w:val="18"/>
                <w:szCs w:val="18"/>
              </w:rPr>
              <w:t>D</w:t>
            </w:r>
            <w:r w:rsidR="001058F5" w:rsidRPr="006807DC">
              <w:rPr>
                <w:rFonts w:cs="Arial"/>
                <w:i/>
                <w:iCs/>
                <w:sz w:val="18"/>
                <w:szCs w:val="18"/>
              </w:rPr>
              <w:t>ie Information</w:t>
            </w:r>
            <w:r w:rsidRPr="006807DC">
              <w:rPr>
                <w:rFonts w:cs="Arial"/>
                <w:i/>
                <w:iCs/>
                <w:sz w:val="18"/>
                <w:szCs w:val="18"/>
              </w:rPr>
              <w:t xml:space="preserve"> kann auch</w:t>
            </w:r>
            <w:r w:rsidR="001058F5" w:rsidRPr="006807DC">
              <w:rPr>
                <w:rFonts w:cs="Arial"/>
                <w:i/>
                <w:iCs/>
                <w:sz w:val="18"/>
                <w:szCs w:val="18"/>
              </w:rPr>
              <w:t xml:space="preserve"> direkt über die Me</w:t>
            </w:r>
            <w:r w:rsidRPr="006807DC">
              <w:rPr>
                <w:rFonts w:cs="Arial"/>
                <w:i/>
                <w:iCs/>
                <w:sz w:val="18"/>
                <w:szCs w:val="18"/>
              </w:rPr>
              <w:t>ss</w:t>
            </w:r>
            <w:r w:rsidR="001058F5" w:rsidRPr="006807DC">
              <w:rPr>
                <w:rFonts w:cs="Arial"/>
                <w:i/>
                <w:iCs/>
                <w:sz w:val="18"/>
                <w:szCs w:val="18"/>
              </w:rPr>
              <w:t>dienstleister erfolg</w:t>
            </w:r>
            <w:r w:rsidRPr="006807DC">
              <w:rPr>
                <w:rFonts w:cs="Arial"/>
                <w:i/>
                <w:iCs/>
                <w:sz w:val="18"/>
                <w:szCs w:val="18"/>
              </w:rPr>
              <w:t>en</w:t>
            </w:r>
            <w:r w:rsidR="001058F5" w:rsidRPr="006807DC">
              <w:rPr>
                <w:rFonts w:cs="Arial"/>
                <w:i/>
                <w:iCs/>
                <w:sz w:val="18"/>
                <w:szCs w:val="18"/>
              </w:rPr>
              <w:t xml:space="preserve">. </w:t>
            </w:r>
          </w:p>
          <w:p w14:paraId="30AF260F" w14:textId="1E0B6444" w:rsidR="001058F5" w:rsidRDefault="001058F5" w:rsidP="00FF5481">
            <w:pPr>
              <w:tabs>
                <w:tab w:val="left" w:pos="567"/>
              </w:tabs>
              <w:spacing w:before="120"/>
              <w:ind w:left="360"/>
              <w:rPr>
                <w:rFonts w:cs="Arial"/>
              </w:rPr>
            </w:pPr>
            <w:r w:rsidRPr="006807DC">
              <w:rPr>
                <w:rFonts w:cs="Arial"/>
                <w:u w:val="single"/>
              </w:rPr>
              <w:t>Wenn nein</w:t>
            </w:r>
            <w:r>
              <w:rPr>
                <w:rFonts w:cs="Arial"/>
              </w:rPr>
              <w:t xml:space="preserve">: Liegt eine Dokumentation vor, warum die entsprechende Unterrichtung nicht vorgenommen wird? </w:t>
            </w:r>
          </w:p>
          <w:p w14:paraId="6EF6BB19" w14:textId="1F57A750" w:rsidR="006807DC" w:rsidRPr="006807DC" w:rsidRDefault="006807DC" w:rsidP="00FF5481">
            <w:pPr>
              <w:tabs>
                <w:tab w:val="left" w:pos="567"/>
              </w:tabs>
              <w:spacing w:before="120"/>
              <w:ind w:left="360"/>
              <w:rPr>
                <w:rFonts w:cs="Arial"/>
                <w:i/>
                <w:iCs/>
                <w:sz w:val="18"/>
                <w:szCs w:val="18"/>
              </w:rPr>
            </w:pPr>
            <w:r w:rsidRPr="006807DC">
              <w:rPr>
                <w:rFonts w:cs="Arial"/>
                <w:i/>
                <w:iCs/>
                <w:sz w:val="18"/>
                <w:szCs w:val="18"/>
              </w:rPr>
              <w:t xml:space="preserve">Erwartungshaltung ist, dass sich die Genossenschaften zumindest mit dem Thema auseinandergesetzt haben und die finale Entscheidung zum Umgang mit diesem Thema dokumentiert ist. </w:t>
            </w:r>
          </w:p>
          <w:p w14:paraId="5800E117" w14:textId="2D366C28" w:rsidR="00EB38ED" w:rsidRPr="00857610" w:rsidRDefault="00FF5481" w:rsidP="00FF5481">
            <w:pPr>
              <w:tabs>
                <w:tab w:val="left" w:pos="567"/>
              </w:tabs>
              <w:spacing w:before="120"/>
              <w:ind w:left="360"/>
              <w:rPr>
                <w:rFonts w:cs="Arial"/>
                <w:sz w:val="18"/>
                <w:szCs w:val="18"/>
              </w:rPr>
            </w:pPr>
            <w:r w:rsidRPr="00857610">
              <w:rPr>
                <w:rFonts w:cs="Arial"/>
                <w:sz w:val="18"/>
                <w:szCs w:val="18"/>
              </w:rPr>
              <w:t xml:space="preserve">Der Vermieter unterrichtet den Mieter unverzüglich nach Zugang der Informationen nach § 3 Absatz 3 Satz 3 oder § 11 Absatz 4 Satz 1 in </w:t>
            </w:r>
            <w:r w:rsidRPr="00857610">
              <w:rPr>
                <w:rFonts w:cs="Arial"/>
                <w:b/>
                <w:bCs/>
                <w:sz w:val="18"/>
                <w:szCs w:val="18"/>
              </w:rPr>
              <w:t xml:space="preserve">Textform über Ursprung, Höhe und </w:t>
            </w:r>
            <w:r w:rsidRPr="001D6A38">
              <w:rPr>
                <w:rFonts w:cs="Arial"/>
                <w:sz w:val="18"/>
                <w:szCs w:val="18"/>
              </w:rPr>
              <w:t>Laufzeit</w:t>
            </w:r>
            <w:r w:rsidRPr="00857610">
              <w:rPr>
                <w:rFonts w:cs="Arial"/>
                <w:b/>
                <w:bCs/>
                <w:sz w:val="18"/>
                <w:szCs w:val="18"/>
              </w:rPr>
              <w:t xml:space="preserve"> der Entlastung sowie über deren Berücksichtigung in der Betriebskostenabrechnung</w:t>
            </w:r>
            <w:r w:rsidRPr="00857610">
              <w:rPr>
                <w:rFonts w:cs="Arial"/>
                <w:sz w:val="18"/>
                <w:szCs w:val="18"/>
              </w:rPr>
              <w:t>. Ist der Vermieter zur Anpassung der Betriebskostenvorauszahlungen nach Absatz 2 verpflichtet, unterrichtet er den Mieter auch über den neuen Vorauszahlungsbetrag.</w:t>
            </w:r>
          </w:p>
        </w:tc>
        <w:tc>
          <w:tcPr>
            <w:tcW w:w="851" w:type="dxa"/>
          </w:tcPr>
          <w:p w14:paraId="34C81E8D" w14:textId="77777777" w:rsidR="00EB38ED" w:rsidRPr="00F20D09" w:rsidRDefault="00EB38ED">
            <w:pPr>
              <w:tabs>
                <w:tab w:val="left" w:pos="567"/>
              </w:tabs>
              <w:spacing w:before="120"/>
              <w:jc w:val="center"/>
              <w:rPr>
                <w:rFonts w:ascii="Sparkasse Rg" w:hAnsi="Sparkasse Rg"/>
              </w:rPr>
            </w:pPr>
          </w:p>
        </w:tc>
        <w:tc>
          <w:tcPr>
            <w:tcW w:w="850" w:type="dxa"/>
          </w:tcPr>
          <w:p w14:paraId="7C48CFFA" w14:textId="77777777" w:rsidR="00EB38ED" w:rsidRPr="00F20D09" w:rsidRDefault="00EB38ED">
            <w:pPr>
              <w:tabs>
                <w:tab w:val="left" w:pos="567"/>
              </w:tabs>
              <w:spacing w:before="120"/>
              <w:jc w:val="center"/>
              <w:rPr>
                <w:rFonts w:ascii="Sparkasse Rg" w:hAnsi="Sparkasse Rg"/>
              </w:rPr>
            </w:pPr>
          </w:p>
        </w:tc>
        <w:tc>
          <w:tcPr>
            <w:tcW w:w="3686" w:type="dxa"/>
            <w:tcBorders>
              <w:right w:val="single" w:sz="12" w:space="0" w:color="auto"/>
            </w:tcBorders>
          </w:tcPr>
          <w:p w14:paraId="105F91F9" w14:textId="77777777" w:rsidR="00EB38ED" w:rsidRPr="00F20D09" w:rsidRDefault="00EB38ED">
            <w:pPr>
              <w:tabs>
                <w:tab w:val="left" w:pos="567"/>
              </w:tabs>
              <w:spacing w:before="120"/>
              <w:rPr>
                <w:rFonts w:ascii="Sparkasse Rg" w:hAnsi="Sparkasse Rg"/>
              </w:rPr>
            </w:pPr>
          </w:p>
        </w:tc>
      </w:tr>
      <w:tr w:rsidR="00EB38ED" w:rsidRPr="00F20D09" w14:paraId="3C47F75D" w14:textId="77777777" w:rsidTr="00EB38ED">
        <w:trPr>
          <w:cantSplit/>
        </w:trPr>
        <w:tc>
          <w:tcPr>
            <w:tcW w:w="4039" w:type="dxa"/>
            <w:tcBorders>
              <w:left w:val="single" w:sz="12" w:space="0" w:color="auto"/>
            </w:tcBorders>
          </w:tcPr>
          <w:p w14:paraId="05B31716" w14:textId="7A9FD45C" w:rsidR="00EB38ED" w:rsidRPr="00C409E0" w:rsidRDefault="00FF5481" w:rsidP="00256494">
            <w:pPr>
              <w:numPr>
                <w:ilvl w:val="0"/>
                <w:numId w:val="2"/>
              </w:numPr>
              <w:tabs>
                <w:tab w:val="left" w:pos="567"/>
              </w:tabs>
              <w:spacing w:before="120"/>
              <w:rPr>
                <w:rFonts w:cs="Arial"/>
                <w:b/>
                <w:bCs/>
              </w:rPr>
            </w:pPr>
            <w:r w:rsidRPr="00C409E0">
              <w:rPr>
                <w:rFonts w:cs="Arial"/>
                <w:b/>
                <w:bCs/>
              </w:rPr>
              <w:t>§ 30 Abs. 2 EWPBG</w:t>
            </w:r>
            <w:r w:rsidR="001D6A38">
              <w:rPr>
                <w:rFonts w:cs="Arial"/>
                <w:b/>
                <w:bCs/>
              </w:rPr>
              <w:t xml:space="preserve"> </w:t>
            </w:r>
            <w:r w:rsidRPr="00C409E0">
              <w:rPr>
                <w:rFonts w:cs="Arial"/>
                <w:b/>
                <w:bCs/>
              </w:rPr>
              <w:t>- Vorhaltepflichten des Vermieters</w:t>
            </w:r>
            <w:r w:rsidR="00942C35" w:rsidRPr="00C409E0">
              <w:rPr>
                <w:rFonts w:cs="Arial"/>
                <w:b/>
                <w:bCs/>
              </w:rPr>
              <w:t xml:space="preserve"> </w:t>
            </w:r>
          </w:p>
          <w:p w14:paraId="74A3BDBB" w14:textId="77777777" w:rsidR="006807DC" w:rsidRDefault="001D6A38" w:rsidP="00FF5481">
            <w:pPr>
              <w:tabs>
                <w:tab w:val="left" w:pos="567"/>
              </w:tabs>
              <w:spacing w:before="120"/>
              <w:ind w:left="360"/>
              <w:rPr>
                <w:rFonts w:cs="Arial"/>
              </w:rPr>
            </w:pPr>
            <w:r>
              <w:rPr>
                <w:rFonts w:cs="Arial"/>
              </w:rPr>
              <w:t>Hält die Genossenschaft die festgelegte Übersicht vor?</w:t>
            </w:r>
            <w:r w:rsidR="001058F5">
              <w:rPr>
                <w:rFonts w:cs="Arial"/>
              </w:rPr>
              <w:t xml:space="preserve"> </w:t>
            </w:r>
          </w:p>
          <w:p w14:paraId="509F9EDF" w14:textId="042C10D2" w:rsidR="001D6A38" w:rsidRPr="006807DC" w:rsidRDefault="006807DC" w:rsidP="00FF5481">
            <w:pPr>
              <w:tabs>
                <w:tab w:val="left" w:pos="567"/>
              </w:tabs>
              <w:spacing w:before="120"/>
              <w:ind w:left="360"/>
              <w:rPr>
                <w:rFonts w:cs="Arial"/>
                <w:i/>
                <w:iCs/>
                <w:sz w:val="18"/>
                <w:szCs w:val="18"/>
              </w:rPr>
            </w:pPr>
            <w:r w:rsidRPr="006807DC">
              <w:rPr>
                <w:rFonts w:cs="Arial"/>
                <w:i/>
                <w:iCs/>
                <w:sz w:val="18"/>
                <w:szCs w:val="18"/>
              </w:rPr>
              <w:t xml:space="preserve">Es handelt sich um eine recht neue Verpflichtung, auf welche auch bereits in diversen Veranstaltungen von Frau Dithmar hingewiesen wurde. </w:t>
            </w:r>
            <w:r w:rsidR="00DD1BCD">
              <w:rPr>
                <w:rFonts w:cs="Arial"/>
                <w:i/>
                <w:iCs/>
                <w:sz w:val="18"/>
                <w:szCs w:val="18"/>
              </w:rPr>
              <w:br/>
            </w:r>
            <w:r w:rsidR="00DD1BCD" w:rsidRPr="00DD1BCD">
              <w:rPr>
                <w:rFonts w:cs="Arial"/>
                <w:i/>
                <w:iCs/>
                <w:sz w:val="18"/>
                <w:szCs w:val="18"/>
                <w:u w:val="single"/>
              </w:rPr>
              <w:t>Hinweis an Prüfer</w:t>
            </w:r>
            <w:r w:rsidR="00DD1BCD">
              <w:rPr>
                <w:rFonts w:cs="Arial"/>
                <w:i/>
                <w:iCs/>
                <w:sz w:val="18"/>
                <w:szCs w:val="18"/>
              </w:rPr>
              <w:t xml:space="preserve">: </w:t>
            </w:r>
            <w:r w:rsidRPr="006807DC">
              <w:rPr>
                <w:rFonts w:cs="Arial"/>
                <w:i/>
                <w:iCs/>
                <w:sz w:val="18"/>
                <w:szCs w:val="18"/>
              </w:rPr>
              <w:t xml:space="preserve">Sollte keine Übersicht vorliegen, ist ein Hinweis bzgl. des Erfordernisses zu geben. </w:t>
            </w:r>
          </w:p>
          <w:p w14:paraId="0BB136BE" w14:textId="6F9FE75F" w:rsidR="00D21572" w:rsidRPr="00D21572" w:rsidRDefault="00FF5481" w:rsidP="00EF0E58">
            <w:pPr>
              <w:tabs>
                <w:tab w:val="left" w:pos="567"/>
              </w:tabs>
              <w:spacing w:before="120"/>
              <w:ind w:left="360"/>
              <w:rPr>
                <w:rFonts w:cs="Arial"/>
                <w:sz w:val="18"/>
                <w:szCs w:val="18"/>
              </w:rPr>
            </w:pPr>
            <w:r w:rsidRPr="001D6A38">
              <w:rPr>
                <w:rFonts w:cs="Arial"/>
                <w:sz w:val="18"/>
                <w:szCs w:val="18"/>
              </w:rPr>
              <w:t xml:space="preserve">…..Vermieter und Gemeinschaften der Wohnungseigentümer haben </w:t>
            </w:r>
            <w:r w:rsidRPr="001D6A38">
              <w:rPr>
                <w:rFonts w:cs="Arial"/>
                <w:b/>
                <w:bCs/>
                <w:sz w:val="18"/>
                <w:szCs w:val="18"/>
              </w:rPr>
              <w:t>die Höhe der finanziellen Entlastung verbunden mit dem jeweiligen Namen und der Anschrift des ……. Mieters</w:t>
            </w:r>
            <w:r w:rsidRPr="001D6A38">
              <w:rPr>
                <w:rFonts w:cs="Arial"/>
                <w:sz w:val="18"/>
                <w:szCs w:val="18"/>
              </w:rPr>
              <w:t xml:space="preserve"> oder Wohnungseigentümers für eine elektronische Übermittlung an die dafür zuständige Stelle des Bundes vorzuhalten und auf Anforderung nach amtlich bestimmtem Datensatz zu übermitteln.</w:t>
            </w:r>
          </w:p>
        </w:tc>
        <w:tc>
          <w:tcPr>
            <w:tcW w:w="851" w:type="dxa"/>
          </w:tcPr>
          <w:p w14:paraId="288DC15C" w14:textId="77777777" w:rsidR="00EB38ED" w:rsidRPr="00F20D09" w:rsidRDefault="00EB38ED">
            <w:pPr>
              <w:tabs>
                <w:tab w:val="left" w:pos="567"/>
              </w:tabs>
              <w:spacing w:before="120"/>
              <w:jc w:val="center"/>
              <w:rPr>
                <w:rFonts w:ascii="Sparkasse Rg" w:hAnsi="Sparkasse Rg"/>
              </w:rPr>
            </w:pPr>
          </w:p>
        </w:tc>
        <w:tc>
          <w:tcPr>
            <w:tcW w:w="850" w:type="dxa"/>
          </w:tcPr>
          <w:p w14:paraId="613FB1F3" w14:textId="77777777" w:rsidR="00EB38ED" w:rsidRPr="00F20D09" w:rsidRDefault="00EB38ED">
            <w:pPr>
              <w:tabs>
                <w:tab w:val="left" w:pos="567"/>
              </w:tabs>
              <w:spacing w:before="120"/>
              <w:jc w:val="center"/>
              <w:rPr>
                <w:rFonts w:ascii="Sparkasse Rg" w:hAnsi="Sparkasse Rg"/>
              </w:rPr>
            </w:pPr>
          </w:p>
        </w:tc>
        <w:tc>
          <w:tcPr>
            <w:tcW w:w="3686" w:type="dxa"/>
            <w:tcBorders>
              <w:right w:val="single" w:sz="12" w:space="0" w:color="auto"/>
            </w:tcBorders>
          </w:tcPr>
          <w:p w14:paraId="639A94B6" w14:textId="77777777" w:rsidR="00EB38ED" w:rsidRPr="00F20D09" w:rsidRDefault="00EB38ED">
            <w:pPr>
              <w:tabs>
                <w:tab w:val="left" w:pos="567"/>
              </w:tabs>
              <w:spacing w:before="120"/>
              <w:rPr>
                <w:rFonts w:ascii="Sparkasse Rg" w:hAnsi="Sparkasse Rg"/>
              </w:rPr>
            </w:pPr>
          </w:p>
        </w:tc>
      </w:tr>
      <w:tr w:rsidR="00EB38ED" w:rsidRPr="00F20D09" w14:paraId="7EEBCD28" w14:textId="77777777" w:rsidTr="00EB38ED">
        <w:trPr>
          <w:cantSplit/>
        </w:trPr>
        <w:tc>
          <w:tcPr>
            <w:tcW w:w="4039" w:type="dxa"/>
            <w:tcBorders>
              <w:left w:val="single" w:sz="12" w:space="0" w:color="auto"/>
            </w:tcBorders>
          </w:tcPr>
          <w:p w14:paraId="75B20D69" w14:textId="1709061C" w:rsidR="00EB38ED" w:rsidRDefault="00465BE1" w:rsidP="00256494">
            <w:pPr>
              <w:numPr>
                <w:ilvl w:val="0"/>
                <w:numId w:val="2"/>
              </w:numPr>
              <w:tabs>
                <w:tab w:val="left" w:pos="567"/>
              </w:tabs>
              <w:spacing w:before="120"/>
              <w:rPr>
                <w:rFonts w:cs="Arial"/>
                <w:b/>
                <w:bCs/>
              </w:rPr>
            </w:pPr>
            <w:r w:rsidRPr="00C409E0">
              <w:rPr>
                <w:rFonts w:cs="Arial"/>
                <w:b/>
                <w:bCs/>
              </w:rPr>
              <w:lastRenderedPageBreak/>
              <w:t xml:space="preserve">§ 6a HeizKVO </w:t>
            </w:r>
            <w:r w:rsidR="001D6A38">
              <w:rPr>
                <w:rFonts w:cs="Arial"/>
                <w:b/>
                <w:bCs/>
              </w:rPr>
              <w:t>-</w:t>
            </w:r>
            <w:r w:rsidRPr="00C409E0">
              <w:rPr>
                <w:rFonts w:cs="Arial"/>
                <w:b/>
                <w:bCs/>
              </w:rPr>
              <w:t xml:space="preserve"> Verbrauchsinformationen für Heizung und Warmwasser</w:t>
            </w:r>
            <w:r w:rsidR="008D0E75">
              <w:rPr>
                <w:rFonts w:cs="Arial"/>
                <w:b/>
                <w:bCs/>
              </w:rPr>
              <w:t xml:space="preserve"> </w:t>
            </w:r>
            <w:r w:rsidRPr="00C409E0">
              <w:rPr>
                <w:rFonts w:cs="Arial"/>
                <w:b/>
                <w:bCs/>
              </w:rPr>
              <w:t>ab dem 01.01.2022 monatlich</w:t>
            </w:r>
          </w:p>
          <w:p w14:paraId="7E03BCC6" w14:textId="77777777" w:rsidR="006807DC" w:rsidRPr="006807DC" w:rsidRDefault="00084E5E" w:rsidP="001D6A38">
            <w:pPr>
              <w:tabs>
                <w:tab w:val="left" w:pos="567"/>
              </w:tabs>
              <w:spacing w:before="120"/>
              <w:ind w:left="360"/>
              <w:rPr>
                <w:rFonts w:cs="Arial"/>
              </w:rPr>
            </w:pPr>
            <w:r w:rsidRPr="006807DC">
              <w:rPr>
                <w:rFonts w:cs="Arial"/>
              </w:rPr>
              <w:t xml:space="preserve">Erfolgt eine monatliche Verbrauchsinformation für Heizung und Warmwasser? </w:t>
            </w:r>
          </w:p>
          <w:p w14:paraId="04038F79" w14:textId="3514E78C" w:rsidR="001D6A38" w:rsidRPr="006807DC" w:rsidRDefault="00084E5E" w:rsidP="001D6A38">
            <w:pPr>
              <w:tabs>
                <w:tab w:val="left" w:pos="567"/>
              </w:tabs>
              <w:spacing w:before="120"/>
              <w:ind w:left="360"/>
              <w:rPr>
                <w:rFonts w:cs="Arial"/>
              </w:rPr>
            </w:pPr>
            <w:r w:rsidRPr="006807DC">
              <w:rPr>
                <w:rFonts w:cs="Arial"/>
                <w:u w:val="single"/>
              </w:rPr>
              <w:t>Wenn nein</w:t>
            </w:r>
            <w:r w:rsidRPr="006807DC">
              <w:rPr>
                <w:rFonts w:cs="Arial"/>
              </w:rPr>
              <w:t xml:space="preserve">: Liegt zumindest eine begründete Dokumentation bzgl. des Verzichts vor? </w:t>
            </w:r>
          </w:p>
          <w:p w14:paraId="68B51D68" w14:textId="1E36B83A" w:rsidR="006807DC" w:rsidRPr="006807DC" w:rsidRDefault="006807DC" w:rsidP="001D6A38">
            <w:pPr>
              <w:tabs>
                <w:tab w:val="left" w:pos="567"/>
              </w:tabs>
              <w:spacing w:before="120"/>
              <w:ind w:left="360"/>
              <w:rPr>
                <w:rFonts w:cs="Arial"/>
                <w:i/>
                <w:iCs/>
                <w:sz w:val="18"/>
                <w:szCs w:val="18"/>
              </w:rPr>
            </w:pPr>
            <w:r w:rsidRPr="006807DC">
              <w:rPr>
                <w:rFonts w:cs="Arial"/>
                <w:i/>
                <w:iCs/>
                <w:sz w:val="18"/>
                <w:szCs w:val="18"/>
              </w:rPr>
              <w:t>Die Information kann auch direkt über die Messdienstleister erfolgen.</w:t>
            </w:r>
          </w:p>
          <w:p w14:paraId="053DAFF2" w14:textId="444F0A8B" w:rsidR="00D21572" w:rsidRPr="00D21572" w:rsidRDefault="00465BE1" w:rsidP="00D21572">
            <w:pPr>
              <w:tabs>
                <w:tab w:val="left" w:pos="567"/>
              </w:tabs>
              <w:spacing w:before="120"/>
              <w:ind w:left="360"/>
              <w:rPr>
                <w:rFonts w:cs="Arial"/>
                <w:sz w:val="18"/>
                <w:szCs w:val="18"/>
              </w:rPr>
            </w:pPr>
            <w:r w:rsidRPr="001D6A38">
              <w:rPr>
                <w:rFonts w:cs="Arial"/>
                <w:sz w:val="18"/>
                <w:szCs w:val="18"/>
              </w:rPr>
              <w:t>Wenn fernablesbare Ausstattungen zur Verbrauchserfassung installiert wurden, hat der Gebäudeeigentümer den Nutzern Abrechnungs- oder Verbrauchsinformationen für Heizung und Warmwasser auf der Grundlage des tatsächlichen Verbrauchs oder der Ablesewerte von Heizkostenverteilern monatlich mitzuteilen.</w:t>
            </w:r>
          </w:p>
        </w:tc>
        <w:tc>
          <w:tcPr>
            <w:tcW w:w="851" w:type="dxa"/>
          </w:tcPr>
          <w:p w14:paraId="2A937DA7" w14:textId="77777777" w:rsidR="00EB38ED" w:rsidRPr="00F20D09" w:rsidRDefault="00EB38ED">
            <w:pPr>
              <w:tabs>
                <w:tab w:val="left" w:pos="567"/>
              </w:tabs>
              <w:spacing w:before="120"/>
              <w:jc w:val="center"/>
              <w:rPr>
                <w:rFonts w:ascii="Sparkasse Rg" w:hAnsi="Sparkasse Rg"/>
              </w:rPr>
            </w:pPr>
          </w:p>
        </w:tc>
        <w:tc>
          <w:tcPr>
            <w:tcW w:w="850" w:type="dxa"/>
          </w:tcPr>
          <w:p w14:paraId="774845FB" w14:textId="77777777" w:rsidR="00EB38ED" w:rsidRPr="00F20D09" w:rsidRDefault="00EB38ED">
            <w:pPr>
              <w:tabs>
                <w:tab w:val="left" w:pos="567"/>
              </w:tabs>
              <w:spacing w:before="120"/>
              <w:jc w:val="center"/>
              <w:rPr>
                <w:rFonts w:ascii="Sparkasse Rg" w:hAnsi="Sparkasse Rg"/>
              </w:rPr>
            </w:pPr>
          </w:p>
        </w:tc>
        <w:tc>
          <w:tcPr>
            <w:tcW w:w="3686" w:type="dxa"/>
            <w:tcBorders>
              <w:right w:val="single" w:sz="12" w:space="0" w:color="auto"/>
            </w:tcBorders>
          </w:tcPr>
          <w:p w14:paraId="2AB1B7FA" w14:textId="77777777" w:rsidR="00EB38ED" w:rsidRPr="00F20D09" w:rsidRDefault="00EB38ED">
            <w:pPr>
              <w:tabs>
                <w:tab w:val="left" w:pos="567"/>
              </w:tabs>
              <w:spacing w:before="120"/>
              <w:rPr>
                <w:rFonts w:ascii="Sparkasse Rg" w:hAnsi="Sparkasse Rg"/>
              </w:rPr>
            </w:pPr>
          </w:p>
        </w:tc>
      </w:tr>
      <w:tr w:rsidR="00EB38ED" w:rsidRPr="00F20D09" w14:paraId="3020643A" w14:textId="77777777" w:rsidTr="00EB38ED">
        <w:trPr>
          <w:cantSplit/>
        </w:trPr>
        <w:tc>
          <w:tcPr>
            <w:tcW w:w="4039" w:type="dxa"/>
            <w:tcBorders>
              <w:left w:val="single" w:sz="12" w:space="0" w:color="auto"/>
            </w:tcBorders>
          </w:tcPr>
          <w:p w14:paraId="6160685C" w14:textId="042CBD64" w:rsidR="00EB38ED" w:rsidRPr="00C409E0" w:rsidRDefault="00942C35" w:rsidP="00256494">
            <w:pPr>
              <w:numPr>
                <w:ilvl w:val="0"/>
                <w:numId w:val="2"/>
              </w:numPr>
              <w:tabs>
                <w:tab w:val="left" w:pos="567"/>
              </w:tabs>
              <w:spacing w:before="120"/>
              <w:rPr>
                <w:rFonts w:cs="Arial"/>
                <w:b/>
                <w:bCs/>
              </w:rPr>
            </w:pPr>
            <w:r w:rsidRPr="00C409E0">
              <w:rPr>
                <w:rFonts w:cs="Arial"/>
                <w:b/>
                <w:bCs/>
              </w:rPr>
              <w:t>Erfolgte eine Anmeldung beim Transparenzregister?</w:t>
            </w:r>
          </w:p>
          <w:p w14:paraId="11B02154" w14:textId="77777777" w:rsidR="00942C35" w:rsidRDefault="00942C35" w:rsidP="00942C35">
            <w:pPr>
              <w:tabs>
                <w:tab w:val="left" w:pos="567"/>
              </w:tabs>
              <w:spacing w:before="120"/>
              <w:ind w:left="360"/>
              <w:rPr>
                <w:rFonts w:cs="Arial"/>
              </w:rPr>
            </w:pPr>
            <w:r w:rsidRPr="002D7CCD">
              <w:rPr>
                <w:rFonts w:cs="Arial"/>
              </w:rPr>
              <w:t xml:space="preserve">Ist eine </w:t>
            </w:r>
            <w:r w:rsidR="000707F0" w:rsidRPr="002D7CCD">
              <w:rPr>
                <w:rFonts w:cs="Arial"/>
              </w:rPr>
              <w:t xml:space="preserve">Anmeldung beim </w:t>
            </w:r>
            <w:r w:rsidRPr="002D7CCD">
              <w:rPr>
                <w:rFonts w:cs="Arial"/>
              </w:rPr>
              <w:t xml:space="preserve">Transparenzregister erfolgt? </w:t>
            </w:r>
            <w:r w:rsidR="008D0E75">
              <w:rPr>
                <w:rFonts w:cs="Arial"/>
              </w:rPr>
              <w:t>(</w:t>
            </w:r>
            <w:r w:rsidRPr="002D7CCD">
              <w:rPr>
                <w:rFonts w:cs="Arial"/>
              </w:rPr>
              <w:t>Eine Anmeldung musste bis zum 30.06.2022 erfolgen.</w:t>
            </w:r>
            <w:r w:rsidR="008D0E75">
              <w:rPr>
                <w:rFonts w:cs="Arial"/>
              </w:rPr>
              <w:t>)</w:t>
            </w:r>
          </w:p>
          <w:p w14:paraId="317F5595" w14:textId="21A4E018" w:rsidR="006807DC" w:rsidRDefault="00DD1BCD" w:rsidP="006807DC">
            <w:pPr>
              <w:tabs>
                <w:tab w:val="left" w:pos="567"/>
              </w:tabs>
              <w:spacing w:before="120"/>
              <w:ind w:left="360"/>
              <w:rPr>
                <w:rFonts w:cs="Arial"/>
                <w:i/>
                <w:iCs/>
                <w:sz w:val="18"/>
                <w:szCs w:val="18"/>
              </w:rPr>
            </w:pPr>
            <w:r w:rsidRPr="00DD1BCD">
              <w:rPr>
                <w:rFonts w:cs="Arial"/>
                <w:i/>
                <w:iCs/>
                <w:sz w:val="18"/>
                <w:szCs w:val="18"/>
                <w:u w:val="single"/>
              </w:rPr>
              <w:t>Hinweis an Prüfer</w:t>
            </w:r>
            <w:r>
              <w:rPr>
                <w:rFonts w:cs="Arial"/>
                <w:i/>
                <w:iCs/>
                <w:sz w:val="18"/>
                <w:szCs w:val="18"/>
              </w:rPr>
              <w:t>:</w:t>
            </w:r>
            <w:r>
              <w:rPr>
                <w:rFonts w:cs="Arial"/>
                <w:i/>
                <w:iCs/>
                <w:sz w:val="18"/>
                <w:szCs w:val="18"/>
              </w:rPr>
              <w:t xml:space="preserve"> </w:t>
            </w:r>
            <w:r w:rsidR="006807DC" w:rsidRPr="006807DC">
              <w:rPr>
                <w:rFonts w:cs="Arial"/>
                <w:i/>
                <w:iCs/>
                <w:sz w:val="18"/>
                <w:szCs w:val="18"/>
              </w:rPr>
              <w:t xml:space="preserve">Sollte </w:t>
            </w:r>
            <w:r w:rsidR="006807DC">
              <w:rPr>
                <w:rFonts w:cs="Arial"/>
                <w:i/>
                <w:iCs/>
                <w:sz w:val="18"/>
                <w:szCs w:val="18"/>
              </w:rPr>
              <w:t xml:space="preserve">bisher </w:t>
            </w:r>
            <w:r w:rsidR="006807DC" w:rsidRPr="006807DC">
              <w:rPr>
                <w:rFonts w:cs="Arial"/>
                <w:i/>
                <w:iCs/>
                <w:sz w:val="18"/>
                <w:szCs w:val="18"/>
              </w:rPr>
              <w:t xml:space="preserve">keine </w:t>
            </w:r>
            <w:r w:rsidR="006807DC">
              <w:rPr>
                <w:rFonts w:cs="Arial"/>
                <w:i/>
                <w:iCs/>
                <w:sz w:val="18"/>
                <w:szCs w:val="18"/>
              </w:rPr>
              <w:t>Anmeldung vorliegen</w:t>
            </w:r>
            <w:r w:rsidR="006807DC" w:rsidRPr="006807DC">
              <w:rPr>
                <w:rFonts w:cs="Arial"/>
                <w:i/>
                <w:iCs/>
                <w:sz w:val="18"/>
                <w:szCs w:val="18"/>
              </w:rPr>
              <w:t xml:space="preserve">, ist </w:t>
            </w:r>
            <w:r w:rsidR="006807DC">
              <w:rPr>
                <w:rFonts w:cs="Arial"/>
                <w:i/>
                <w:iCs/>
                <w:sz w:val="18"/>
                <w:szCs w:val="18"/>
              </w:rPr>
              <w:t>darauf hinzuwirken</w:t>
            </w:r>
            <w:r w:rsidR="006807DC" w:rsidRPr="006807DC">
              <w:rPr>
                <w:rFonts w:cs="Arial"/>
                <w:i/>
                <w:iCs/>
                <w:sz w:val="18"/>
                <w:szCs w:val="18"/>
              </w:rPr>
              <w:t xml:space="preserve">. </w:t>
            </w:r>
          </w:p>
          <w:p w14:paraId="4F83B783" w14:textId="338C4340" w:rsidR="00FE3F40" w:rsidRDefault="00FE3F40" w:rsidP="006807DC">
            <w:pPr>
              <w:tabs>
                <w:tab w:val="left" w:pos="567"/>
              </w:tabs>
              <w:spacing w:before="120"/>
              <w:ind w:left="360"/>
              <w:rPr>
                <w:rFonts w:cs="Arial"/>
              </w:rPr>
            </w:pPr>
            <w:r w:rsidRPr="00FE3F40">
              <w:rPr>
                <w:rFonts w:cs="Arial"/>
                <w:u w:val="single"/>
              </w:rPr>
              <w:t>Wenn ja</w:t>
            </w:r>
            <w:r>
              <w:rPr>
                <w:rFonts w:cs="Arial"/>
              </w:rPr>
              <w:t>: Werden die Daten akt</w:t>
            </w:r>
            <w:r w:rsidR="006807DC">
              <w:rPr>
                <w:rFonts w:cs="Arial"/>
              </w:rPr>
              <w:t>u</w:t>
            </w:r>
            <w:r>
              <w:rPr>
                <w:rFonts w:cs="Arial"/>
              </w:rPr>
              <w:t>ell gehalten?</w:t>
            </w:r>
          </w:p>
          <w:p w14:paraId="6F6A3C16" w14:textId="47B51F18" w:rsidR="008D0E75" w:rsidRPr="00984DDC" w:rsidRDefault="008D0E75" w:rsidP="00942C35">
            <w:pPr>
              <w:tabs>
                <w:tab w:val="left" w:pos="567"/>
              </w:tabs>
              <w:spacing w:before="120"/>
              <w:ind w:left="360"/>
              <w:rPr>
                <w:rFonts w:cs="Arial"/>
                <w:i/>
                <w:iCs/>
                <w:sz w:val="18"/>
                <w:szCs w:val="18"/>
              </w:rPr>
            </w:pPr>
            <w:r w:rsidRPr="00984DDC">
              <w:rPr>
                <w:rFonts w:cs="Arial"/>
                <w:i/>
                <w:iCs/>
                <w:sz w:val="18"/>
                <w:szCs w:val="18"/>
              </w:rPr>
              <w:t>Das Transparenzregister wurde zu einem Vollregister ausgestaltet. Dies erfolgte durch Streichung der sog. Meldefiktion in § 20 Abs. 2 GwG. Mit dem Vollregister müssen künftig die Daten zu allen wirtschaftlich Berechtigten unmittelbar im Transparenzregister eingetragen und digital einsehbar sein.</w:t>
            </w:r>
          </w:p>
          <w:p w14:paraId="7F5D209C" w14:textId="227A2848" w:rsidR="008D0E75" w:rsidRPr="002D7CCD" w:rsidRDefault="008D0E75" w:rsidP="00942C35">
            <w:pPr>
              <w:tabs>
                <w:tab w:val="left" w:pos="567"/>
              </w:tabs>
              <w:spacing w:before="120"/>
              <w:ind w:left="360"/>
              <w:rPr>
                <w:rFonts w:cs="Arial"/>
              </w:rPr>
            </w:pPr>
            <w:r w:rsidRPr="00984DDC">
              <w:rPr>
                <w:rFonts w:cs="Arial"/>
                <w:i/>
                <w:iCs/>
                <w:sz w:val="18"/>
                <w:szCs w:val="18"/>
              </w:rPr>
              <w:t>Durch die Streichung der Meldefiktion müssen in Bezug auf Genossenschaften stets separate Meldungen der Daten zum Transparenzregister erfolgen, auch wenn diese Angaben aus anderen Registern, wie dem Genossenschaftsregister elektronisch abrufbar sind. Neben den originären Meldungen müssen die betroffenen Unternehmen zusätzlich zu den Daten im Genossenschaft</w:t>
            </w:r>
            <w:r w:rsidR="00FE3F40" w:rsidRPr="00984DDC">
              <w:rPr>
                <w:rFonts w:cs="Arial"/>
                <w:i/>
                <w:iCs/>
                <w:sz w:val="18"/>
                <w:szCs w:val="18"/>
              </w:rPr>
              <w:t>s</w:t>
            </w:r>
            <w:r w:rsidRPr="00984DDC">
              <w:rPr>
                <w:rFonts w:cs="Arial"/>
                <w:i/>
                <w:iCs/>
                <w:sz w:val="18"/>
                <w:szCs w:val="18"/>
              </w:rPr>
              <w:t>register die Daten im Transparenzregister entsprechend aktuell halten.</w:t>
            </w:r>
          </w:p>
        </w:tc>
        <w:tc>
          <w:tcPr>
            <w:tcW w:w="851" w:type="dxa"/>
          </w:tcPr>
          <w:p w14:paraId="32B90A9E" w14:textId="77777777" w:rsidR="00EB38ED" w:rsidRPr="00F20D09" w:rsidRDefault="00EB38ED">
            <w:pPr>
              <w:tabs>
                <w:tab w:val="left" w:pos="567"/>
              </w:tabs>
              <w:spacing w:before="120"/>
              <w:jc w:val="center"/>
              <w:rPr>
                <w:rFonts w:ascii="Sparkasse Rg" w:hAnsi="Sparkasse Rg"/>
              </w:rPr>
            </w:pPr>
          </w:p>
        </w:tc>
        <w:tc>
          <w:tcPr>
            <w:tcW w:w="850" w:type="dxa"/>
          </w:tcPr>
          <w:p w14:paraId="7FD9124E" w14:textId="77777777" w:rsidR="00EB38ED" w:rsidRPr="00F20D09" w:rsidRDefault="00EB38ED">
            <w:pPr>
              <w:tabs>
                <w:tab w:val="left" w:pos="567"/>
              </w:tabs>
              <w:spacing w:before="120"/>
              <w:jc w:val="center"/>
              <w:rPr>
                <w:rFonts w:ascii="Sparkasse Rg" w:hAnsi="Sparkasse Rg"/>
              </w:rPr>
            </w:pPr>
          </w:p>
        </w:tc>
        <w:tc>
          <w:tcPr>
            <w:tcW w:w="3686" w:type="dxa"/>
            <w:tcBorders>
              <w:right w:val="single" w:sz="12" w:space="0" w:color="auto"/>
            </w:tcBorders>
          </w:tcPr>
          <w:p w14:paraId="45A04268" w14:textId="77777777" w:rsidR="00EB38ED" w:rsidRPr="00F20D09" w:rsidRDefault="00EB38ED">
            <w:pPr>
              <w:tabs>
                <w:tab w:val="left" w:pos="567"/>
              </w:tabs>
              <w:spacing w:before="120"/>
              <w:rPr>
                <w:rFonts w:ascii="Sparkasse Rg" w:hAnsi="Sparkasse Rg"/>
              </w:rPr>
            </w:pPr>
          </w:p>
        </w:tc>
      </w:tr>
      <w:tr w:rsidR="00EB38ED" w:rsidRPr="00F20D09" w14:paraId="4028B747" w14:textId="77777777" w:rsidTr="00EB38ED">
        <w:trPr>
          <w:cantSplit/>
        </w:trPr>
        <w:tc>
          <w:tcPr>
            <w:tcW w:w="4039" w:type="dxa"/>
            <w:tcBorders>
              <w:left w:val="single" w:sz="12" w:space="0" w:color="auto"/>
            </w:tcBorders>
          </w:tcPr>
          <w:p w14:paraId="37FD064C" w14:textId="3DACB350" w:rsidR="00EB38ED" w:rsidRDefault="006D6148" w:rsidP="00256494">
            <w:pPr>
              <w:numPr>
                <w:ilvl w:val="0"/>
                <w:numId w:val="2"/>
              </w:numPr>
              <w:tabs>
                <w:tab w:val="left" w:pos="567"/>
              </w:tabs>
              <w:spacing w:before="120"/>
              <w:rPr>
                <w:rFonts w:cs="Arial"/>
                <w:b/>
                <w:bCs/>
              </w:rPr>
            </w:pPr>
            <w:r w:rsidRPr="00C409E0">
              <w:rPr>
                <w:rFonts w:cs="Arial"/>
                <w:b/>
                <w:bCs/>
              </w:rPr>
              <w:lastRenderedPageBreak/>
              <w:t>Wartungskosten für Rauchwarnmelder</w:t>
            </w:r>
          </w:p>
          <w:p w14:paraId="1DC12CB2" w14:textId="297999C7" w:rsidR="00084E5E" w:rsidRDefault="00084E5E" w:rsidP="00084E5E">
            <w:pPr>
              <w:tabs>
                <w:tab w:val="left" w:pos="567"/>
              </w:tabs>
              <w:spacing w:before="120"/>
              <w:ind w:left="360"/>
              <w:rPr>
                <w:rFonts w:cs="Arial"/>
              </w:rPr>
            </w:pPr>
            <w:r w:rsidRPr="00084E5E">
              <w:rPr>
                <w:rFonts w:cs="Arial"/>
              </w:rPr>
              <w:t xml:space="preserve">Werden nur </w:t>
            </w:r>
            <w:r w:rsidRPr="00084E5E">
              <w:rPr>
                <w:rFonts w:cs="Arial"/>
                <w:b/>
                <w:bCs/>
              </w:rPr>
              <w:t>Wartungskosten</w:t>
            </w:r>
            <w:r w:rsidRPr="00084E5E">
              <w:rPr>
                <w:rFonts w:cs="Arial"/>
              </w:rPr>
              <w:t xml:space="preserve"> für Rauchwarnmelder umgelegt?</w:t>
            </w:r>
          </w:p>
          <w:p w14:paraId="3B42D060" w14:textId="491C4B93" w:rsidR="006807DC" w:rsidRPr="00084E5E" w:rsidRDefault="006807DC" w:rsidP="00084E5E">
            <w:pPr>
              <w:tabs>
                <w:tab w:val="left" w:pos="567"/>
              </w:tabs>
              <w:spacing w:before="120"/>
              <w:ind w:left="360"/>
              <w:rPr>
                <w:rFonts w:cs="Arial"/>
              </w:rPr>
            </w:pPr>
            <w:r>
              <w:rPr>
                <w:rFonts w:cs="Arial"/>
                <w:i/>
                <w:iCs/>
                <w:sz w:val="18"/>
                <w:szCs w:val="18"/>
              </w:rPr>
              <w:t xml:space="preserve">Dieses Erfordernis sollte grundsätzlich bekannt sein, da bereits seit dem Jahr 2019 so geregelt. Gleichwohl kommt es wohl vereinzelt noch vor, dass die Anmietkosten weiterhin umgelegt werden. </w:t>
            </w:r>
            <w:r w:rsidR="00DD1BCD">
              <w:rPr>
                <w:rFonts w:cs="Arial"/>
                <w:i/>
                <w:iCs/>
                <w:sz w:val="18"/>
                <w:szCs w:val="18"/>
              </w:rPr>
              <w:t>(</w:t>
            </w:r>
            <w:r w:rsidR="00DD1BCD" w:rsidRPr="00DD1BCD">
              <w:rPr>
                <w:rFonts w:cs="Arial"/>
                <w:i/>
                <w:iCs/>
                <w:sz w:val="18"/>
                <w:szCs w:val="18"/>
                <w:u w:val="single"/>
              </w:rPr>
              <w:t>Hinweis an Prüfer</w:t>
            </w:r>
            <w:r w:rsidR="00DD1BCD">
              <w:rPr>
                <w:rFonts w:cs="Arial"/>
                <w:i/>
                <w:iCs/>
                <w:sz w:val="18"/>
                <w:szCs w:val="18"/>
              </w:rPr>
              <w:t>:</w:t>
            </w:r>
            <w:r w:rsidR="00DD1BCD">
              <w:rPr>
                <w:rFonts w:cs="Arial"/>
                <w:i/>
                <w:iCs/>
                <w:sz w:val="18"/>
                <w:szCs w:val="18"/>
              </w:rPr>
              <w:t xml:space="preserve"> </w:t>
            </w:r>
            <w:r>
              <w:rPr>
                <w:rFonts w:cs="Arial"/>
                <w:i/>
                <w:iCs/>
                <w:sz w:val="18"/>
                <w:szCs w:val="18"/>
              </w:rPr>
              <w:t xml:space="preserve">In diesen </w:t>
            </w:r>
            <w:r w:rsidR="003804A1">
              <w:rPr>
                <w:rFonts w:cs="Arial"/>
                <w:i/>
                <w:iCs/>
                <w:sz w:val="18"/>
                <w:szCs w:val="18"/>
              </w:rPr>
              <w:t>Fällen</w:t>
            </w:r>
            <w:r>
              <w:rPr>
                <w:rFonts w:cs="Arial"/>
                <w:i/>
                <w:iCs/>
                <w:sz w:val="18"/>
                <w:szCs w:val="18"/>
              </w:rPr>
              <w:t xml:space="preserve"> ist auf die Rechtsprechung des BGH aus dem Jahr 2022 zu verweisen.</w:t>
            </w:r>
            <w:r w:rsidR="00DD1BCD">
              <w:rPr>
                <w:rFonts w:cs="Arial"/>
                <w:i/>
                <w:iCs/>
                <w:sz w:val="18"/>
                <w:szCs w:val="18"/>
              </w:rPr>
              <w:t>)</w:t>
            </w:r>
            <w:r>
              <w:rPr>
                <w:rFonts w:cs="Arial"/>
                <w:i/>
                <w:iCs/>
                <w:sz w:val="18"/>
                <w:szCs w:val="18"/>
              </w:rPr>
              <w:t xml:space="preserve"> </w:t>
            </w:r>
          </w:p>
          <w:p w14:paraId="58351710" w14:textId="450325C0" w:rsidR="006D6148" w:rsidRPr="00084E5E" w:rsidRDefault="006D6148" w:rsidP="006D6148">
            <w:pPr>
              <w:tabs>
                <w:tab w:val="left" w:pos="567"/>
              </w:tabs>
              <w:spacing w:before="120"/>
              <w:ind w:left="360"/>
              <w:rPr>
                <w:rFonts w:cs="Arial"/>
                <w:sz w:val="18"/>
                <w:szCs w:val="18"/>
              </w:rPr>
            </w:pPr>
            <w:r w:rsidRPr="00084E5E">
              <w:rPr>
                <w:rFonts w:cs="Arial"/>
                <w:b/>
                <w:bCs/>
                <w:sz w:val="18"/>
                <w:szCs w:val="18"/>
              </w:rPr>
              <w:t xml:space="preserve">Anmietkosten </w:t>
            </w:r>
            <w:r w:rsidRPr="00084E5E">
              <w:rPr>
                <w:rFonts w:cs="Arial"/>
                <w:sz w:val="18"/>
                <w:szCs w:val="18"/>
              </w:rPr>
              <w:t xml:space="preserve">für Rauchwarnmelder dürfen </w:t>
            </w:r>
            <w:r w:rsidRPr="00084E5E">
              <w:rPr>
                <w:rFonts w:cs="Arial"/>
                <w:b/>
                <w:bCs/>
                <w:sz w:val="18"/>
                <w:szCs w:val="18"/>
              </w:rPr>
              <w:t>nicht umgelegt</w:t>
            </w:r>
            <w:r w:rsidRPr="00084E5E">
              <w:rPr>
                <w:rFonts w:cs="Arial"/>
                <w:sz w:val="18"/>
                <w:szCs w:val="18"/>
              </w:rPr>
              <w:t xml:space="preserve"> werden (vgl. BGH vom 11.05.2022- AZ VIII ZR 379/20)</w:t>
            </w:r>
            <w:r w:rsidR="005B1F22" w:rsidRPr="00084E5E">
              <w:rPr>
                <w:rFonts w:cs="Arial"/>
                <w:sz w:val="18"/>
                <w:szCs w:val="18"/>
              </w:rPr>
              <w:t>!</w:t>
            </w:r>
          </w:p>
        </w:tc>
        <w:tc>
          <w:tcPr>
            <w:tcW w:w="851" w:type="dxa"/>
          </w:tcPr>
          <w:p w14:paraId="07C2A5E5" w14:textId="77777777" w:rsidR="00EB38ED" w:rsidRPr="00F20D09" w:rsidRDefault="00EB38ED">
            <w:pPr>
              <w:tabs>
                <w:tab w:val="left" w:pos="567"/>
              </w:tabs>
              <w:spacing w:before="120"/>
              <w:jc w:val="center"/>
              <w:rPr>
                <w:rFonts w:ascii="Sparkasse Rg" w:hAnsi="Sparkasse Rg"/>
              </w:rPr>
            </w:pPr>
          </w:p>
        </w:tc>
        <w:tc>
          <w:tcPr>
            <w:tcW w:w="850" w:type="dxa"/>
          </w:tcPr>
          <w:p w14:paraId="5162F6F1" w14:textId="77777777" w:rsidR="00EB38ED" w:rsidRPr="00F20D09" w:rsidRDefault="00EB38ED">
            <w:pPr>
              <w:tabs>
                <w:tab w:val="left" w:pos="567"/>
              </w:tabs>
              <w:spacing w:before="120"/>
              <w:jc w:val="center"/>
              <w:rPr>
                <w:rFonts w:ascii="Sparkasse Rg" w:hAnsi="Sparkasse Rg"/>
              </w:rPr>
            </w:pPr>
          </w:p>
        </w:tc>
        <w:tc>
          <w:tcPr>
            <w:tcW w:w="3686" w:type="dxa"/>
            <w:tcBorders>
              <w:right w:val="single" w:sz="12" w:space="0" w:color="auto"/>
            </w:tcBorders>
          </w:tcPr>
          <w:p w14:paraId="5CA85098" w14:textId="77777777" w:rsidR="00EB38ED" w:rsidRPr="00F20D09" w:rsidRDefault="00EB38ED">
            <w:pPr>
              <w:tabs>
                <w:tab w:val="left" w:pos="567"/>
              </w:tabs>
              <w:spacing w:before="120"/>
              <w:rPr>
                <w:rFonts w:ascii="Sparkasse Rg" w:hAnsi="Sparkasse Rg"/>
              </w:rPr>
            </w:pPr>
          </w:p>
        </w:tc>
      </w:tr>
      <w:tr w:rsidR="00E85A64" w:rsidRPr="00F20D09" w14:paraId="057EB797" w14:textId="77777777" w:rsidTr="00EB38ED">
        <w:trPr>
          <w:cantSplit/>
        </w:trPr>
        <w:tc>
          <w:tcPr>
            <w:tcW w:w="4039" w:type="dxa"/>
            <w:tcBorders>
              <w:left w:val="single" w:sz="12" w:space="0" w:color="auto"/>
            </w:tcBorders>
          </w:tcPr>
          <w:p w14:paraId="61596426" w14:textId="7CC5B086" w:rsidR="00E85A64" w:rsidRDefault="00E85A64" w:rsidP="00256494">
            <w:pPr>
              <w:numPr>
                <w:ilvl w:val="0"/>
                <w:numId w:val="2"/>
              </w:numPr>
              <w:tabs>
                <w:tab w:val="left" w:pos="567"/>
              </w:tabs>
              <w:spacing w:before="120"/>
              <w:rPr>
                <w:rFonts w:cs="Arial"/>
                <w:b/>
                <w:bCs/>
              </w:rPr>
            </w:pPr>
            <w:r>
              <w:rPr>
                <w:rFonts w:cs="Arial"/>
                <w:b/>
                <w:bCs/>
              </w:rPr>
              <w:t>Feststellung Jahresabschluss</w:t>
            </w:r>
          </w:p>
          <w:p w14:paraId="2C6BD903" w14:textId="40711005" w:rsidR="00E05796" w:rsidRDefault="00E85A64" w:rsidP="00E05796">
            <w:pPr>
              <w:tabs>
                <w:tab w:val="left" w:pos="567"/>
              </w:tabs>
              <w:spacing w:before="120"/>
              <w:ind w:left="360"/>
              <w:rPr>
                <w:rFonts w:cs="Arial"/>
              </w:rPr>
            </w:pPr>
            <w:r w:rsidRPr="00E85A64">
              <w:rPr>
                <w:rFonts w:cs="Arial"/>
              </w:rPr>
              <w:t xml:space="preserve">Erfolgte die Feststellung des Jahresabschlusses durch das richtige Organ? </w:t>
            </w:r>
          </w:p>
          <w:p w14:paraId="778A0ADF" w14:textId="77777777" w:rsidR="00E85A64" w:rsidRDefault="00E85A64" w:rsidP="00E85A64">
            <w:pPr>
              <w:tabs>
                <w:tab w:val="left" w:pos="567"/>
              </w:tabs>
              <w:spacing w:before="120"/>
              <w:ind w:left="360"/>
              <w:rPr>
                <w:rFonts w:cs="Arial"/>
                <w:sz w:val="18"/>
                <w:szCs w:val="18"/>
              </w:rPr>
            </w:pPr>
            <w:r>
              <w:rPr>
                <w:rFonts w:cs="Arial"/>
                <w:sz w:val="18"/>
                <w:szCs w:val="18"/>
              </w:rPr>
              <w:t>Sofern</w:t>
            </w:r>
            <w:r w:rsidRPr="00E85A64">
              <w:rPr>
                <w:rFonts w:cs="Arial"/>
                <w:sz w:val="18"/>
                <w:szCs w:val="18"/>
              </w:rPr>
              <w:t xml:space="preserve"> die </w:t>
            </w:r>
            <w:r w:rsidRPr="00E85A64">
              <w:rPr>
                <w:rFonts w:cs="Arial"/>
                <w:b/>
                <w:bCs/>
                <w:sz w:val="18"/>
                <w:szCs w:val="18"/>
              </w:rPr>
              <w:t>Feststellung JA durch den Aufsichtsrat mittels Umlaufbeschluss nach dem 31. August 2022</w:t>
            </w:r>
            <w:r>
              <w:rPr>
                <w:rFonts w:cs="Arial"/>
                <w:b/>
                <w:bCs/>
                <w:sz w:val="18"/>
                <w:szCs w:val="18"/>
              </w:rPr>
              <w:t xml:space="preserve"> erfolgte</w:t>
            </w:r>
            <w:r w:rsidRPr="00E85A64">
              <w:rPr>
                <w:rFonts w:cs="Arial"/>
                <w:b/>
                <w:bCs/>
                <w:sz w:val="18"/>
                <w:szCs w:val="18"/>
              </w:rPr>
              <w:t>, ist dieser nichtig</w:t>
            </w:r>
            <w:r w:rsidRPr="00E85A64">
              <w:rPr>
                <w:rFonts w:cs="Arial"/>
                <w:sz w:val="18"/>
                <w:szCs w:val="18"/>
              </w:rPr>
              <w:t>, da er vom falschen Organ getroffen wurde. Die COVID-Sonderregelungen waren zu diesem Zeitpunkt ausgelaufen und es gelten die normalen Satzungsregelungen.</w:t>
            </w:r>
          </w:p>
          <w:p w14:paraId="5DFC1AA7" w14:textId="48A8E62D" w:rsidR="00E05796" w:rsidRPr="00E05796" w:rsidRDefault="00E05796" w:rsidP="00E85A64">
            <w:pPr>
              <w:tabs>
                <w:tab w:val="left" w:pos="567"/>
              </w:tabs>
              <w:spacing w:before="120"/>
              <w:ind w:left="360"/>
              <w:rPr>
                <w:rFonts w:cs="Arial"/>
                <w:i/>
                <w:iCs/>
                <w:sz w:val="18"/>
                <w:szCs w:val="18"/>
              </w:rPr>
            </w:pPr>
            <w:r w:rsidRPr="00E05796">
              <w:rPr>
                <w:rFonts w:cs="Arial"/>
                <w:i/>
                <w:iCs/>
                <w:sz w:val="18"/>
                <w:szCs w:val="18"/>
              </w:rPr>
              <w:t xml:space="preserve">Eine Heilung </w:t>
            </w:r>
            <w:r w:rsidR="00EA22D1">
              <w:rPr>
                <w:rFonts w:cs="Arial"/>
                <w:i/>
                <w:iCs/>
                <w:sz w:val="18"/>
                <w:szCs w:val="18"/>
              </w:rPr>
              <w:t>einer</w:t>
            </w:r>
            <w:r w:rsidRPr="00E05796">
              <w:rPr>
                <w:rFonts w:cs="Arial"/>
                <w:i/>
                <w:iCs/>
                <w:sz w:val="18"/>
                <w:szCs w:val="18"/>
              </w:rPr>
              <w:t xml:space="preserve"> nichtigen </w:t>
            </w:r>
            <w:r>
              <w:rPr>
                <w:rFonts w:cs="Arial"/>
                <w:i/>
                <w:iCs/>
                <w:sz w:val="18"/>
                <w:szCs w:val="18"/>
              </w:rPr>
              <w:t>JA-</w:t>
            </w:r>
            <w:r w:rsidRPr="00E05796">
              <w:rPr>
                <w:rFonts w:cs="Arial"/>
                <w:i/>
                <w:iCs/>
                <w:sz w:val="18"/>
                <w:szCs w:val="18"/>
              </w:rPr>
              <w:t xml:space="preserve">Feststellung ist durch erneute Beschlussfassung im Rahmen der kommenden Mitglieder-/ Vertreterversammlung möglich. </w:t>
            </w:r>
          </w:p>
        </w:tc>
        <w:tc>
          <w:tcPr>
            <w:tcW w:w="851" w:type="dxa"/>
          </w:tcPr>
          <w:p w14:paraId="2B97640B" w14:textId="77777777" w:rsidR="00E85A64" w:rsidRPr="00F20D09" w:rsidRDefault="00E85A64">
            <w:pPr>
              <w:tabs>
                <w:tab w:val="left" w:pos="567"/>
              </w:tabs>
              <w:spacing w:before="120"/>
              <w:jc w:val="center"/>
              <w:rPr>
                <w:rFonts w:ascii="Sparkasse Rg" w:hAnsi="Sparkasse Rg"/>
              </w:rPr>
            </w:pPr>
          </w:p>
        </w:tc>
        <w:tc>
          <w:tcPr>
            <w:tcW w:w="850" w:type="dxa"/>
          </w:tcPr>
          <w:p w14:paraId="69E5B8A2" w14:textId="77777777" w:rsidR="00E85A64" w:rsidRPr="00F20D09" w:rsidRDefault="00E85A64">
            <w:pPr>
              <w:tabs>
                <w:tab w:val="left" w:pos="567"/>
              </w:tabs>
              <w:spacing w:before="120"/>
              <w:jc w:val="center"/>
              <w:rPr>
                <w:rFonts w:ascii="Sparkasse Rg" w:hAnsi="Sparkasse Rg"/>
              </w:rPr>
            </w:pPr>
          </w:p>
        </w:tc>
        <w:tc>
          <w:tcPr>
            <w:tcW w:w="3686" w:type="dxa"/>
            <w:tcBorders>
              <w:right w:val="single" w:sz="12" w:space="0" w:color="auto"/>
            </w:tcBorders>
          </w:tcPr>
          <w:p w14:paraId="2CE9195C" w14:textId="77777777" w:rsidR="00E85A64" w:rsidRPr="00F20D09" w:rsidRDefault="00E85A64">
            <w:pPr>
              <w:tabs>
                <w:tab w:val="left" w:pos="567"/>
              </w:tabs>
              <w:spacing w:before="120"/>
              <w:rPr>
                <w:rFonts w:ascii="Sparkasse Rg" w:hAnsi="Sparkasse Rg"/>
              </w:rPr>
            </w:pPr>
          </w:p>
        </w:tc>
      </w:tr>
      <w:tr w:rsidR="00084E5E" w:rsidRPr="00F20D09" w14:paraId="0CF15C50" w14:textId="77777777" w:rsidTr="00EB38ED">
        <w:trPr>
          <w:cantSplit/>
        </w:trPr>
        <w:tc>
          <w:tcPr>
            <w:tcW w:w="4039" w:type="dxa"/>
            <w:tcBorders>
              <w:left w:val="single" w:sz="12" w:space="0" w:color="auto"/>
            </w:tcBorders>
          </w:tcPr>
          <w:p w14:paraId="170E23CD" w14:textId="3C3274A2" w:rsidR="00084E5E" w:rsidRPr="00084E5E" w:rsidRDefault="00084E5E" w:rsidP="00084E5E">
            <w:pPr>
              <w:numPr>
                <w:ilvl w:val="0"/>
                <w:numId w:val="2"/>
              </w:numPr>
              <w:tabs>
                <w:tab w:val="left" w:pos="567"/>
              </w:tabs>
              <w:spacing w:before="120"/>
              <w:rPr>
                <w:rFonts w:cs="Arial"/>
                <w:b/>
                <w:bCs/>
              </w:rPr>
            </w:pPr>
            <w:r>
              <w:rPr>
                <w:rFonts w:cs="Arial"/>
                <w:b/>
                <w:bCs/>
              </w:rPr>
              <w:lastRenderedPageBreak/>
              <w:t xml:space="preserve">§ 49 GenG - </w:t>
            </w:r>
            <w:r w:rsidRPr="00084E5E">
              <w:rPr>
                <w:rFonts w:cs="Arial"/>
                <w:b/>
                <w:bCs/>
              </w:rPr>
              <w:t>Beschränkungen für Kredite</w:t>
            </w:r>
          </w:p>
          <w:p w14:paraId="7A2438E3" w14:textId="74B7AB65" w:rsidR="00084E5E" w:rsidRPr="00084E5E" w:rsidRDefault="00084E5E" w:rsidP="00084E5E">
            <w:pPr>
              <w:tabs>
                <w:tab w:val="left" w:pos="567"/>
              </w:tabs>
              <w:spacing w:before="120"/>
              <w:ind w:left="360"/>
              <w:rPr>
                <w:rFonts w:cs="Arial"/>
              </w:rPr>
            </w:pPr>
            <w:r w:rsidRPr="00084E5E">
              <w:rPr>
                <w:rFonts w:cs="Arial"/>
              </w:rPr>
              <w:t xml:space="preserve">Liegt ein entsprechender </w:t>
            </w:r>
            <w:r w:rsidRPr="00084E5E">
              <w:rPr>
                <w:rFonts w:cs="Arial"/>
                <w:b/>
                <w:bCs/>
              </w:rPr>
              <w:t>Beschluss</w:t>
            </w:r>
            <w:r w:rsidRPr="00084E5E">
              <w:rPr>
                <w:rFonts w:cs="Arial"/>
              </w:rPr>
              <w:t xml:space="preserve"> vor? </w:t>
            </w:r>
          </w:p>
          <w:p w14:paraId="64D5814A" w14:textId="1D5228CD" w:rsidR="00E05796" w:rsidRDefault="00DD1BCD" w:rsidP="00084E5E">
            <w:pPr>
              <w:tabs>
                <w:tab w:val="left" w:pos="567"/>
              </w:tabs>
              <w:spacing w:before="120"/>
              <w:ind w:left="360"/>
              <w:rPr>
                <w:rFonts w:cs="Arial"/>
                <w:sz w:val="18"/>
                <w:szCs w:val="18"/>
              </w:rPr>
            </w:pPr>
            <w:r w:rsidRPr="00DD1BCD">
              <w:rPr>
                <w:rFonts w:cs="Arial"/>
                <w:i/>
                <w:iCs/>
                <w:sz w:val="18"/>
                <w:szCs w:val="18"/>
                <w:u w:val="single"/>
              </w:rPr>
              <w:t>Hinweis an Prüfer</w:t>
            </w:r>
            <w:r>
              <w:rPr>
                <w:rFonts w:cs="Arial"/>
                <w:i/>
                <w:iCs/>
                <w:sz w:val="18"/>
                <w:szCs w:val="18"/>
              </w:rPr>
              <w:t>:</w:t>
            </w:r>
            <w:r>
              <w:rPr>
                <w:rFonts w:cs="Arial"/>
                <w:i/>
                <w:iCs/>
                <w:sz w:val="18"/>
                <w:szCs w:val="18"/>
              </w:rPr>
              <w:t xml:space="preserve"> </w:t>
            </w:r>
            <w:r w:rsidR="00E05796">
              <w:rPr>
                <w:rFonts w:cs="Arial"/>
                <w:i/>
                <w:iCs/>
                <w:sz w:val="18"/>
                <w:szCs w:val="18"/>
              </w:rPr>
              <w:t xml:space="preserve">Sofern noch keine Beschlussfassung vorliegt, ist darauf hinzuwirken, dass diese im Rahmen der kommenden </w:t>
            </w:r>
            <w:r w:rsidR="00E05796" w:rsidRPr="00E05796">
              <w:rPr>
                <w:rFonts w:cs="Arial"/>
                <w:i/>
                <w:iCs/>
                <w:sz w:val="18"/>
                <w:szCs w:val="18"/>
              </w:rPr>
              <w:t>Mitglieder-/ Vertreterversammlung</w:t>
            </w:r>
            <w:r w:rsidR="00E05796">
              <w:rPr>
                <w:rFonts w:cs="Arial"/>
                <w:i/>
                <w:iCs/>
                <w:sz w:val="18"/>
                <w:szCs w:val="18"/>
              </w:rPr>
              <w:t xml:space="preserve"> vorgenommen wird. Bei Frau Dithmar liegt ein entsprechender Musterbeschluss vor. </w:t>
            </w:r>
          </w:p>
          <w:p w14:paraId="29C21A15" w14:textId="369748ED" w:rsidR="00084E5E" w:rsidRDefault="00084E5E" w:rsidP="00084E5E">
            <w:pPr>
              <w:tabs>
                <w:tab w:val="left" w:pos="567"/>
              </w:tabs>
              <w:spacing w:before="120"/>
              <w:ind w:left="360"/>
              <w:rPr>
                <w:rFonts w:cs="Arial"/>
                <w:sz w:val="18"/>
                <w:szCs w:val="18"/>
              </w:rPr>
            </w:pPr>
            <w:r w:rsidRPr="00084E5E">
              <w:rPr>
                <w:rFonts w:cs="Arial"/>
                <w:sz w:val="18"/>
                <w:szCs w:val="18"/>
              </w:rPr>
              <w:t>Die Generalversammlung hat die Beschränkungen festzusetzen, die bei Gewährung von Kredit an denselben  Schuldner eingehalten werden sollen.</w:t>
            </w:r>
            <w:r>
              <w:rPr>
                <w:rFonts w:cs="Arial"/>
                <w:sz w:val="18"/>
                <w:szCs w:val="18"/>
              </w:rPr>
              <w:t xml:space="preserve"> </w:t>
            </w:r>
          </w:p>
          <w:p w14:paraId="1B1EFF13" w14:textId="49E2D804" w:rsidR="00084E5E" w:rsidRPr="00084E5E" w:rsidRDefault="00084E5E" w:rsidP="00084E5E">
            <w:pPr>
              <w:tabs>
                <w:tab w:val="left" w:pos="567"/>
              </w:tabs>
              <w:spacing w:before="120"/>
              <w:ind w:left="360"/>
              <w:rPr>
                <w:rFonts w:cs="Arial"/>
                <w:sz w:val="18"/>
                <w:szCs w:val="18"/>
              </w:rPr>
            </w:pPr>
            <w:r>
              <w:rPr>
                <w:rFonts w:cs="Arial"/>
                <w:sz w:val="18"/>
                <w:szCs w:val="18"/>
              </w:rPr>
              <w:t>Der Kreditbegriff ist dabei weit auszulegen. D</w:t>
            </w:r>
            <w:r w:rsidRPr="00084E5E">
              <w:rPr>
                <w:rFonts w:cs="Arial"/>
                <w:sz w:val="18"/>
                <w:szCs w:val="18"/>
              </w:rPr>
              <w:t xml:space="preserve">er direkte Zahlungsverzug </w:t>
            </w:r>
            <w:r>
              <w:rPr>
                <w:rFonts w:cs="Arial"/>
                <w:sz w:val="18"/>
                <w:szCs w:val="18"/>
              </w:rPr>
              <w:t xml:space="preserve">führt </w:t>
            </w:r>
            <w:r w:rsidRPr="00084E5E">
              <w:rPr>
                <w:rFonts w:cs="Arial"/>
                <w:sz w:val="18"/>
                <w:szCs w:val="18"/>
              </w:rPr>
              <w:t xml:space="preserve">nicht </w:t>
            </w:r>
            <w:r w:rsidR="00D02B95">
              <w:rPr>
                <w:rFonts w:cs="Arial"/>
                <w:sz w:val="18"/>
                <w:szCs w:val="18"/>
              </w:rPr>
              <w:br/>
            </w:r>
            <w:r w:rsidRPr="00084E5E">
              <w:rPr>
                <w:rFonts w:cs="Arial"/>
                <w:sz w:val="18"/>
                <w:szCs w:val="18"/>
              </w:rPr>
              <w:t xml:space="preserve">direkt zu einem Darlehenstatbestand nach </w:t>
            </w:r>
            <w:r w:rsidR="00D02B95">
              <w:rPr>
                <w:rFonts w:cs="Arial"/>
                <w:sz w:val="18"/>
                <w:szCs w:val="18"/>
              </w:rPr>
              <w:br/>
            </w:r>
            <w:r w:rsidRPr="00084E5E">
              <w:rPr>
                <w:rFonts w:cs="Arial"/>
                <w:sz w:val="18"/>
                <w:szCs w:val="18"/>
              </w:rPr>
              <w:t>§ 49 GenG. Grds. muss der Vorstand bei Mietrückständen aber tätig werden, da er sonst in Fragestellungen hinsichtlich Ordnungsmäßigkeit Geschäftsführung „rutscht“. Einerseits könnte er dem säumigen Mieter kündigen (dann ebenfalls nicht § 49 GenG), was aber wohl eher der absolute Ausnahmefall sein dürfte. Als zweite Möglichkeit zum Umgang mit Mietrückständen gibt es die Stundung bzw. Ratenzahlungsvereinbarung; mit diesen Konstrukten wäre der Darlehenstatbestand nach § 49 GenG dann auch erfüllt. Grds. kann eine Stundung bzw. Ratenzahlungsvereinbarung auch durch konkludentes Handeln vereinbart sein</w:t>
            </w:r>
            <w:r>
              <w:rPr>
                <w:rFonts w:cs="Arial"/>
                <w:sz w:val="18"/>
                <w:szCs w:val="18"/>
              </w:rPr>
              <w:t>.</w:t>
            </w:r>
          </w:p>
        </w:tc>
        <w:tc>
          <w:tcPr>
            <w:tcW w:w="851" w:type="dxa"/>
          </w:tcPr>
          <w:p w14:paraId="0F2C457C" w14:textId="77777777" w:rsidR="00084E5E" w:rsidRPr="00F20D09" w:rsidRDefault="00084E5E">
            <w:pPr>
              <w:tabs>
                <w:tab w:val="left" w:pos="567"/>
              </w:tabs>
              <w:spacing w:before="120"/>
              <w:jc w:val="center"/>
              <w:rPr>
                <w:rFonts w:ascii="Sparkasse Rg" w:hAnsi="Sparkasse Rg"/>
              </w:rPr>
            </w:pPr>
          </w:p>
        </w:tc>
        <w:tc>
          <w:tcPr>
            <w:tcW w:w="850" w:type="dxa"/>
          </w:tcPr>
          <w:p w14:paraId="307267C3" w14:textId="77777777" w:rsidR="00084E5E" w:rsidRPr="00F20D09" w:rsidRDefault="00084E5E">
            <w:pPr>
              <w:tabs>
                <w:tab w:val="left" w:pos="567"/>
              </w:tabs>
              <w:spacing w:before="120"/>
              <w:jc w:val="center"/>
              <w:rPr>
                <w:rFonts w:ascii="Sparkasse Rg" w:hAnsi="Sparkasse Rg"/>
              </w:rPr>
            </w:pPr>
          </w:p>
        </w:tc>
        <w:tc>
          <w:tcPr>
            <w:tcW w:w="3686" w:type="dxa"/>
            <w:tcBorders>
              <w:right w:val="single" w:sz="12" w:space="0" w:color="auto"/>
            </w:tcBorders>
          </w:tcPr>
          <w:p w14:paraId="300362C8" w14:textId="77777777" w:rsidR="00084E5E" w:rsidRPr="00F20D09" w:rsidRDefault="00084E5E">
            <w:pPr>
              <w:tabs>
                <w:tab w:val="left" w:pos="567"/>
              </w:tabs>
              <w:spacing w:before="120"/>
              <w:rPr>
                <w:rFonts w:ascii="Sparkasse Rg" w:hAnsi="Sparkasse Rg"/>
              </w:rPr>
            </w:pPr>
          </w:p>
        </w:tc>
      </w:tr>
    </w:tbl>
    <w:p w14:paraId="3BE79FDA" w14:textId="156D1943" w:rsidR="00D80D8B" w:rsidRDefault="00D80D8B">
      <w:pPr>
        <w:tabs>
          <w:tab w:val="left" w:pos="567"/>
        </w:tabs>
        <w:ind w:left="284" w:hanging="284"/>
        <w:rPr>
          <w:rFonts w:ascii="Sparkasse Rg" w:hAnsi="Sparkasse Rg"/>
        </w:rPr>
      </w:pPr>
    </w:p>
    <w:p w14:paraId="37DF87E4" w14:textId="66F8C344" w:rsidR="00971F23" w:rsidRPr="00D02B95" w:rsidRDefault="00D02B95" w:rsidP="00D02B95">
      <w:pPr>
        <w:tabs>
          <w:tab w:val="left" w:pos="567"/>
        </w:tabs>
        <w:ind w:left="284" w:hanging="284"/>
        <w:jc w:val="center"/>
        <w:rPr>
          <w:rFonts w:ascii="Sparkasse Rg" w:hAnsi="Sparkasse Rg"/>
          <w:b/>
          <w:bCs/>
        </w:rPr>
      </w:pPr>
      <w:r w:rsidRPr="00D02B95">
        <w:rPr>
          <w:rFonts w:ascii="Sparkasse Rg" w:hAnsi="Sparkasse Rg"/>
          <w:b/>
          <w:bCs/>
        </w:rPr>
        <w:t>- Ende -</w:t>
      </w:r>
    </w:p>
    <w:sectPr w:rsidR="00971F23" w:rsidRPr="00D02B95" w:rsidSect="000F0BCD">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pgMar w:top="1418" w:right="1134" w:bottom="1021" w:left="1418" w:header="7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E5D0" w14:textId="77777777" w:rsidR="000F0BCD" w:rsidRDefault="000F0BCD">
      <w:r>
        <w:separator/>
      </w:r>
    </w:p>
  </w:endnote>
  <w:endnote w:type="continuationSeparator" w:id="0">
    <w:p w14:paraId="6984E36A" w14:textId="77777777" w:rsidR="000F0BCD" w:rsidRDefault="000F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Calibri"/>
    <w:charset w:val="00"/>
    <w:family w:val="swiss"/>
    <w:pitch w:val="variable"/>
    <w:sig w:usb0="8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1F9E" w14:textId="77777777" w:rsidR="00D02B95" w:rsidRDefault="00D02B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8973" w14:textId="71EDC6C7" w:rsidR="00971F23" w:rsidRPr="00154DA1" w:rsidRDefault="00971F23">
    <w:pPr>
      <w:pStyle w:val="Fuzeile"/>
      <w:pBdr>
        <w:top w:val="single" w:sz="6" w:space="1" w:color="auto"/>
      </w:pBdr>
      <w:tabs>
        <w:tab w:val="clear" w:pos="4536"/>
        <w:tab w:val="clear" w:pos="9072"/>
        <w:tab w:val="left" w:pos="1985"/>
        <w:tab w:val="left" w:pos="3969"/>
        <w:tab w:val="left" w:pos="5954"/>
      </w:tabs>
      <w:rPr>
        <w:rFonts w:cs="Arial"/>
      </w:rPr>
    </w:pPr>
    <w:r w:rsidRPr="00154DA1">
      <w:rPr>
        <w:rFonts w:cs="Arial"/>
      </w:rPr>
      <w:t xml:space="preserve">Datum: </w:t>
    </w:r>
    <w:r w:rsidRPr="00154DA1">
      <w:rPr>
        <w:rFonts w:cs="Arial"/>
      </w:rPr>
      <w:tab/>
    </w:r>
    <w:r w:rsidR="00D02B95">
      <w:rPr>
        <w:rFonts w:cs="Arial"/>
      </w:rPr>
      <w:t>bearbeitet</w:t>
    </w:r>
    <w:r w:rsidR="00CB4868">
      <w:rPr>
        <w:rFonts w:cs="Arial"/>
      </w:rPr>
      <w:t xml:space="preserve">: </w:t>
    </w:r>
  </w:p>
  <w:p w14:paraId="30BECD6E" w14:textId="77777777" w:rsidR="00971F23" w:rsidRPr="00154DA1" w:rsidRDefault="00971F23">
    <w:pPr>
      <w:pStyle w:val="Fuzeile"/>
      <w:pBdr>
        <w:top w:val="single" w:sz="6" w:space="1" w:color="auto"/>
      </w:pBdr>
      <w:tabs>
        <w:tab w:val="clear" w:pos="4536"/>
        <w:tab w:val="clear" w:pos="9072"/>
        <w:tab w:val="left" w:pos="1985"/>
        <w:tab w:val="left" w:pos="3969"/>
        <w:tab w:val="left" w:pos="5954"/>
      </w:tabs>
      <w:rPr>
        <w:rFonts w:cs="Arial"/>
        <w:sz w:val="18"/>
      </w:rPr>
    </w:pPr>
  </w:p>
  <w:p w14:paraId="22DBC7D5" w14:textId="2BBC5619" w:rsidR="00971F23" w:rsidRPr="00154DA1" w:rsidRDefault="00246A4A">
    <w:pPr>
      <w:pStyle w:val="Fuzeile"/>
      <w:pBdr>
        <w:top w:val="single" w:sz="6" w:space="1" w:color="auto"/>
      </w:pBdr>
      <w:tabs>
        <w:tab w:val="clear" w:pos="4536"/>
        <w:tab w:val="clear" w:pos="9072"/>
        <w:tab w:val="left" w:pos="1985"/>
        <w:tab w:val="left" w:pos="3969"/>
        <w:tab w:val="left" w:pos="5954"/>
      </w:tabs>
      <w:rPr>
        <w:rFonts w:cs="Arial"/>
        <w:sz w:val="16"/>
      </w:rPr>
    </w:pPr>
    <w:r w:rsidRPr="00154DA1">
      <w:rPr>
        <w:rFonts w:cs="Arial"/>
        <w:sz w:val="16"/>
      </w:rPr>
      <w:t xml:space="preserve">Stand: Januar </w:t>
    </w:r>
    <w:r w:rsidR="00FD378D" w:rsidRPr="00154DA1">
      <w:rPr>
        <w:rFonts w:cs="Arial"/>
        <w:sz w:val="16"/>
      </w:rPr>
      <w:t>202</w:t>
    </w:r>
    <w:r w:rsidR="00D21572" w:rsidRPr="00154DA1">
      <w:rPr>
        <w:rFonts w:cs="Arial"/>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5027" w14:textId="21AE4A67" w:rsidR="00971F23" w:rsidRPr="00F20D09" w:rsidRDefault="00971F23">
    <w:pPr>
      <w:pStyle w:val="Fuzeile"/>
      <w:pBdr>
        <w:top w:val="single" w:sz="6" w:space="1" w:color="auto"/>
      </w:pBdr>
      <w:tabs>
        <w:tab w:val="clear" w:pos="4536"/>
        <w:tab w:val="clear" w:pos="9072"/>
        <w:tab w:val="left" w:pos="1985"/>
        <w:tab w:val="left" w:pos="3969"/>
        <w:tab w:val="left" w:pos="5954"/>
      </w:tabs>
      <w:rPr>
        <w:rFonts w:ascii="Sparkasse Rg" w:hAnsi="Sparkasse Rg"/>
      </w:rPr>
    </w:pPr>
    <w:r w:rsidRPr="00F20D09">
      <w:rPr>
        <w:rFonts w:ascii="Sparkasse Rg" w:hAnsi="Sparkasse Rg"/>
      </w:rPr>
      <w:t xml:space="preserve">Datum: </w:t>
    </w:r>
    <w:r w:rsidRPr="00F20D09">
      <w:rPr>
        <w:rFonts w:ascii="Sparkasse Rg" w:hAnsi="Sparkasse Rg"/>
      </w:rPr>
      <w:tab/>
      <w:t xml:space="preserve"> Prüfer: </w:t>
    </w:r>
    <w:r w:rsidRPr="00F20D09">
      <w:rPr>
        <w:rFonts w:ascii="Sparkasse Rg" w:hAnsi="Sparkasse Rg"/>
      </w:rPr>
      <w:tab/>
    </w:r>
    <w:r w:rsidR="00EB38ED">
      <w:rPr>
        <w:rFonts w:ascii="Sparkasse Rg" w:hAnsi="Sparkasse Rg"/>
      </w:rPr>
      <w:t xml:space="preserve">   (vorrangig) verantwortlicher</w:t>
    </w:r>
    <w:r w:rsidRPr="00F20D09">
      <w:rPr>
        <w:rFonts w:ascii="Sparkasse Rg" w:hAnsi="Sparkasse Rg"/>
      </w:rPr>
      <w:t xml:space="preserve"> WP:</w:t>
    </w:r>
  </w:p>
  <w:p w14:paraId="50F1BE90" w14:textId="77777777" w:rsidR="00971F23" w:rsidRPr="00F20D09" w:rsidRDefault="00971F23">
    <w:pPr>
      <w:pStyle w:val="Fuzeile"/>
      <w:pBdr>
        <w:top w:val="single" w:sz="6" w:space="1" w:color="auto"/>
      </w:pBdr>
      <w:tabs>
        <w:tab w:val="clear" w:pos="4536"/>
        <w:tab w:val="clear" w:pos="9072"/>
        <w:tab w:val="left" w:pos="1985"/>
        <w:tab w:val="left" w:pos="3969"/>
        <w:tab w:val="left" w:pos="5954"/>
      </w:tabs>
      <w:rPr>
        <w:rFonts w:ascii="Sparkasse Rg" w:hAnsi="Sparkasse Rg"/>
        <w:sz w:val="18"/>
      </w:rPr>
    </w:pPr>
  </w:p>
  <w:p w14:paraId="652869D9" w14:textId="5C03429F" w:rsidR="00971F23" w:rsidRPr="00F20D09" w:rsidRDefault="00AA67E2">
    <w:pPr>
      <w:pStyle w:val="Fuzeile"/>
      <w:pBdr>
        <w:top w:val="single" w:sz="6" w:space="1" w:color="auto"/>
      </w:pBdr>
      <w:tabs>
        <w:tab w:val="clear" w:pos="4536"/>
        <w:tab w:val="clear" w:pos="9072"/>
        <w:tab w:val="left" w:pos="1985"/>
        <w:tab w:val="left" w:pos="3969"/>
        <w:tab w:val="left" w:pos="5954"/>
      </w:tabs>
      <w:rPr>
        <w:rFonts w:ascii="Sparkasse Rg" w:hAnsi="Sparkasse Rg"/>
        <w:sz w:val="16"/>
      </w:rPr>
    </w:pPr>
    <w:r w:rsidRPr="00F20D09">
      <w:rPr>
        <w:rFonts w:ascii="Sparkasse Rg" w:hAnsi="Sparkasse Rg"/>
        <w:sz w:val="16"/>
      </w:rPr>
      <w:t xml:space="preserve">Version </w:t>
    </w:r>
    <w:r w:rsidR="00EB38ED">
      <w:rPr>
        <w:rFonts w:ascii="Sparkasse Rg" w:hAnsi="Sparkasse Rg"/>
        <w:sz w:val="16"/>
      </w:rPr>
      <w:t>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580E" w14:textId="77777777" w:rsidR="000F0BCD" w:rsidRDefault="000F0BCD">
      <w:r>
        <w:separator/>
      </w:r>
    </w:p>
  </w:footnote>
  <w:footnote w:type="continuationSeparator" w:id="0">
    <w:p w14:paraId="1017ADF2" w14:textId="77777777" w:rsidR="000F0BCD" w:rsidRDefault="000F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0876" w14:textId="77777777" w:rsidR="00971F23" w:rsidRDefault="00971F2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E4F4F0F" w14:textId="77777777" w:rsidR="00971F23" w:rsidRDefault="00971F2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F327" w14:textId="5E448942" w:rsidR="00971F23" w:rsidRDefault="00971F2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34471">
      <w:rPr>
        <w:rStyle w:val="Seitenzahl"/>
        <w:noProof/>
      </w:rPr>
      <w:t>3</w:t>
    </w:r>
    <w:r>
      <w:rPr>
        <w:rStyle w:val="Seitenzahl"/>
      </w:rPr>
      <w:fldChar w:fldCharType="end"/>
    </w:r>
  </w:p>
  <w:p w14:paraId="76210BF6" w14:textId="08FE0669" w:rsidR="00971F23" w:rsidRPr="00154DA1" w:rsidRDefault="00971F23">
    <w:pPr>
      <w:pStyle w:val="Kopfzeile"/>
      <w:tabs>
        <w:tab w:val="clear" w:pos="9072"/>
        <w:tab w:val="center" w:pos="4678"/>
        <w:tab w:val="right" w:pos="9356"/>
      </w:tabs>
      <w:rPr>
        <w:rStyle w:val="Seitenzahl"/>
        <w:rFonts w:cs="Arial"/>
      </w:rPr>
    </w:pPr>
    <w:r w:rsidRPr="00154DA1">
      <w:rPr>
        <w:rFonts w:cs="Arial"/>
        <w:b/>
        <w:i/>
      </w:rPr>
      <w:tab/>
    </w:r>
    <w:r w:rsidR="00234F2E" w:rsidRPr="00154DA1">
      <w:rPr>
        <w:rFonts w:cs="Arial"/>
        <w:b/>
        <w:i/>
      </w:rPr>
      <w:t>Vtw-Prüfung</w:t>
    </w:r>
    <w:r w:rsidRPr="00154DA1">
      <w:rPr>
        <w:rFonts w:cs="Arial"/>
        <w:b/>
        <w:i/>
      </w:rPr>
      <w:t xml:space="preserve"> -</w:t>
    </w:r>
    <w:r w:rsidRPr="00154DA1">
      <w:rPr>
        <w:rFonts w:cs="Arial"/>
        <w:b/>
        <w:i/>
      </w:rPr>
      <w:tab/>
    </w:r>
    <w:r w:rsidRPr="00154DA1">
      <w:rPr>
        <w:rStyle w:val="Seitenzahl"/>
        <w:rFonts w:cs="Arial"/>
      </w:rPr>
      <w:fldChar w:fldCharType="begin"/>
    </w:r>
    <w:r w:rsidRPr="00154DA1">
      <w:rPr>
        <w:rStyle w:val="Seitenzahl"/>
        <w:rFonts w:cs="Arial"/>
      </w:rPr>
      <w:instrText xml:space="preserve"> PAGE </w:instrText>
    </w:r>
    <w:r w:rsidRPr="00154DA1">
      <w:rPr>
        <w:rStyle w:val="Seitenzahl"/>
        <w:rFonts w:cs="Arial"/>
      </w:rPr>
      <w:fldChar w:fldCharType="separate"/>
    </w:r>
    <w:r w:rsidR="00B34471" w:rsidRPr="00154DA1">
      <w:rPr>
        <w:rStyle w:val="Seitenzahl"/>
        <w:rFonts w:cs="Arial"/>
        <w:noProof/>
      </w:rPr>
      <w:t>3</w:t>
    </w:r>
    <w:r w:rsidRPr="00154DA1">
      <w:rPr>
        <w:rStyle w:val="Seitenzahl"/>
        <w:rFonts w:cs="Arial"/>
      </w:rPr>
      <w:fldChar w:fldCharType="end"/>
    </w:r>
  </w:p>
  <w:p w14:paraId="6CD4D2AD" w14:textId="77777777" w:rsidR="00971F23" w:rsidRPr="00154DA1" w:rsidRDefault="00971F23">
    <w:pPr>
      <w:pStyle w:val="Kopfzeile"/>
      <w:pBdr>
        <w:bottom w:val="single" w:sz="6" w:space="1" w:color="auto"/>
      </w:pBdr>
      <w:tabs>
        <w:tab w:val="clear" w:pos="9072"/>
        <w:tab w:val="center" w:pos="4678"/>
        <w:tab w:val="right" w:pos="9356"/>
      </w:tabs>
      <w:jc w:val="right"/>
      <w:rPr>
        <w:rStyle w:val="Seitenzahl"/>
        <w:rFonts w:cs="Arial"/>
      </w:rPr>
    </w:pPr>
  </w:p>
  <w:p w14:paraId="3BA32FDC" w14:textId="77777777" w:rsidR="00971F23" w:rsidRPr="00154DA1" w:rsidRDefault="00971F23">
    <w:pPr>
      <w:pStyle w:val="Kopfzeile"/>
      <w:ind w:right="-227"/>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CD00" w14:textId="1EF9477F" w:rsidR="00971F23" w:rsidRDefault="00971F2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34471">
      <w:rPr>
        <w:rStyle w:val="Seitenzahl"/>
        <w:noProof/>
      </w:rPr>
      <w:t>1</w:t>
    </w:r>
    <w:r>
      <w:rPr>
        <w:rStyle w:val="Seitenzahl"/>
      </w:rPr>
      <w:fldChar w:fldCharType="end"/>
    </w:r>
  </w:p>
  <w:p w14:paraId="1A464AC0" w14:textId="592F0062" w:rsidR="00971F23" w:rsidRPr="00F20D09" w:rsidRDefault="00EB38ED">
    <w:pPr>
      <w:pStyle w:val="Kopfzeile"/>
      <w:tabs>
        <w:tab w:val="clear" w:pos="9072"/>
        <w:tab w:val="center" w:pos="4678"/>
        <w:tab w:val="right" w:pos="9356"/>
      </w:tabs>
      <w:rPr>
        <w:rStyle w:val="Seitenzahl"/>
        <w:rFonts w:ascii="Sparkasse Rg" w:hAnsi="Sparkasse Rg"/>
      </w:rPr>
    </w:pPr>
    <w:r w:rsidRPr="005A196C">
      <w:rPr>
        <w:rFonts w:cs="Arial"/>
        <w:b/>
        <w:noProof/>
        <w:color w:val="002060"/>
      </w:rPr>
      <w:drawing>
        <wp:anchor distT="0" distB="0" distL="114300" distR="114300" simplePos="0" relativeHeight="251659264" behindDoc="0" locked="0" layoutInCell="1" allowOverlap="1" wp14:anchorId="7B2E9713" wp14:editId="6118AA3F">
          <wp:simplePos x="0" y="0"/>
          <wp:positionH relativeFrom="margin">
            <wp:align>left</wp:align>
          </wp:positionH>
          <wp:positionV relativeFrom="paragraph">
            <wp:posOffset>-111318</wp:posOffset>
          </wp:positionV>
          <wp:extent cx="438150" cy="438150"/>
          <wp:effectExtent l="0" t="0" r="0" b="0"/>
          <wp:wrapNone/>
          <wp:docPr id="1795997000" name="Grafik 1795997000"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97000" name="Grafik 1795997000" descr="Ein Bild, das Text, Schrift, Grafiken,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margin">
            <wp14:pctWidth>0</wp14:pctWidth>
          </wp14:sizeRelH>
          <wp14:sizeRelV relativeFrom="margin">
            <wp14:pctHeight>0</wp14:pctHeight>
          </wp14:sizeRelV>
        </wp:anchor>
      </w:drawing>
    </w:r>
    <w:r w:rsidR="00971F23" w:rsidRPr="00F20D09">
      <w:rPr>
        <w:rFonts w:ascii="Sparkasse Rg" w:hAnsi="Sparkasse Rg"/>
        <w:b/>
        <w:i/>
      </w:rPr>
      <w:tab/>
    </w:r>
    <w:r>
      <w:rPr>
        <w:rFonts w:ascii="Sparkasse Rg" w:hAnsi="Sparkasse Rg"/>
        <w:b/>
        <w:i/>
      </w:rPr>
      <w:t>Vtw - Prüfung</w:t>
    </w:r>
    <w:r w:rsidR="00971F23" w:rsidRPr="00F20D09">
      <w:rPr>
        <w:rFonts w:ascii="Sparkasse Rg" w:hAnsi="Sparkasse Rg"/>
        <w:b/>
        <w:i/>
      </w:rPr>
      <w:t xml:space="preserve"> -</w:t>
    </w:r>
    <w:r w:rsidR="00971F23" w:rsidRPr="00F20D09">
      <w:rPr>
        <w:rFonts w:ascii="Sparkasse Rg" w:hAnsi="Sparkasse Rg"/>
        <w:b/>
        <w:i/>
      </w:rPr>
      <w:tab/>
    </w:r>
    <w:r w:rsidR="00971F23" w:rsidRPr="00F20D09">
      <w:rPr>
        <w:rStyle w:val="Seitenzahl"/>
        <w:rFonts w:ascii="Sparkasse Rg" w:hAnsi="Sparkasse Rg"/>
      </w:rPr>
      <w:fldChar w:fldCharType="begin"/>
    </w:r>
    <w:r w:rsidR="00971F23" w:rsidRPr="00F20D09">
      <w:rPr>
        <w:rStyle w:val="Seitenzahl"/>
        <w:rFonts w:ascii="Sparkasse Rg" w:hAnsi="Sparkasse Rg"/>
      </w:rPr>
      <w:instrText xml:space="preserve"> PAGE </w:instrText>
    </w:r>
    <w:r w:rsidR="00971F23" w:rsidRPr="00F20D09">
      <w:rPr>
        <w:rStyle w:val="Seitenzahl"/>
        <w:rFonts w:ascii="Sparkasse Rg" w:hAnsi="Sparkasse Rg"/>
      </w:rPr>
      <w:fldChar w:fldCharType="separate"/>
    </w:r>
    <w:r w:rsidR="00B34471">
      <w:rPr>
        <w:rStyle w:val="Seitenzahl"/>
        <w:rFonts w:ascii="Sparkasse Rg" w:hAnsi="Sparkasse Rg"/>
        <w:noProof/>
      </w:rPr>
      <w:t>1</w:t>
    </w:r>
    <w:r w:rsidR="00971F23" w:rsidRPr="00F20D09">
      <w:rPr>
        <w:rStyle w:val="Seitenzahl"/>
        <w:rFonts w:ascii="Sparkasse Rg" w:hAnsi="Sparkasse Rg"/>
      </w:rPr>
      <w:fldChar w:fldCharType="end"/>
    </w:r>
  </w:p>
  <w:p w14:paraId="15AE61BF" w14:textId="77777777" w:rsidR="00971F23" w:rsidRPr="00F20D09" w:rsidRDefault="00971F23">
    <w:pPr>
      <w:pStyle w:val="Kopfzeile"/>
      <w:pBdr>
        <w:bottom w:val="single" w:sz="6" w:space="1" w:color="auto"/>
      </w:pBdr>
      <w:tabs>
        <w:tab w:val="clear" w:pos="9072"/>
        <w:tab w:val="center" w:pos="4678"/>
        <w:tab w:val="right" w:pos="9356"/>
      </w:tabs>
      <w:jc w:val="right"/>
      <w:rPr>
        <w:rStyle w:val="Seitenzahl"/>
        <w:rFonts w:ascii="Sparkasse Rg" w:hAnsi="Sparkasse Rg"/>
      </w:rPr>
    </w:pPr>
  </w:p>
  <w:p w14:paraId="4147FBE7" w14:textId="77777777" w:rsidR="00971F23" w:rsidRDefault="00971F23" w:rsidP="00EB38ED">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15:restartNumberingAfterBreak="0">
    <w:nsid w:val="015D0191"/>
    <w:multiLevelType w:val="hybridMultilevel"/>
    <w:tmpl w:val="6BB2EF1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07660C8B"/>
    <w:multiLevelType w:val="singleLevel"/>
    <w:tmpl w:val="04070011"/>
    <w:lvl w:ilvl="0">
      <w:start w:val="1"/>
      <w:numFmt w:val="decimal"/>
      <w:lvlText w:val="%1)"/>
      <w:lvlJc w:val="left"/>
      <w:pPr>
        <w:tabs>
          <w:tab w:val="num" w:pos="360"/>
        </w:tabs>
        <w:ind w:left="360" w:hanging="360"/>
      </w:pPr>
    </w:lvl>
  </w:abstractNum>
  <w:abstractNum w:abstractNumId="3" w15:restartNumberingAfterBreak="0">
    <w:nsid w:val="2DFB2264"/>
    <w:multiLevelType w:val="hybridMultilevel"/>
    <w:tmpl w:val="0568A762"/>
    <w:lvl w:ilvl="0" w:tplc="7BB414D6">
      <w:start w:val="1"/>
      <w:numFmt w:val="decimal"/>
      <w:lvlText w:val="%1)"/>
      <w:lvlJc w:val="left"/>
      <w:pPr>
        <w:tabs>
          <w:tab w:val="num" w:pos="720"/>
        </w:tabs>
        <w:ind w:left="720" w:hanging="360"/>
      </w:pPr>
    </w:lvl>
    <w:lvl w:ilvl="1" w:tplc="C4545FA2" w:tentative="1">
      <w:start w:val="1"/>
      <w:numFmt w:val="lowerLetter"/>
      <w:lvlText w:val="%2."/>
      <w:lvlJc w:val="left"/>
      <w:pPr>
        <w:tabs>
          <w:tab w:val="num" w:pos="1440"/>
        </w:tabs>
        <w:ind w:left="1440" w:hanging="360"/>
      </w:pPr>
    </w:lvl>
    <w:lvl w:ilvl="2" w:tplc="1EF861D2" w:tentative="1">
      <w:start w:val="1"/>
      <w:numFmt w:val="lowerRoman"/>
      <w:lvlText w:val="%3."/>
      <w:lvlJc w:val="right"/>
      <w:pPr>
        <w:tabs>
          <w:tab w:val="num" w:pos="2160"/>
        </w:tabs>
        <w:ind w:left="2160" w:hanging="180"/>
      </w:pPr>
    </w:lvl>
    <w:lvl w:ilvl="3" w:tplc="0B3A0E9E" w:tentative="1">
      <w:start w:val="1"/>
      <w:numFmt w:val="decimal"/>
      <w:lvlText w:val="%4."/>
      <w:lvlJc w:val="left"/>
      <w:pPr>
        <w:tabs>
          <w:tab w:val="num" w:pos="2880"/>
        </w:tabs>
        <w:ind w:left="2880" w:hanging="360"/>
      </w:pPr>
    </w:lvl>
    <w:lvl w:ilvl="4" w:tplc="2B2461F2" w:tentative="1">
      <w:start w:val="1"/>
      <w:numFmt w:val="lowerLetter"/>
      <w:lvlText w:val="%5."/>
      <w:lvlJc w:val="left"/>
      <w:pPr>
        <w:tabs>
          <w:tab w:val="num" w:pos="3600"/>
        </w:tabs>
        <w:ind w:left="3600" w:hanging="360"/>
      </w:pPr>
    </w:lvl>
    <w:lvl w:ilvl="5" w:tplc="F9AE0EA2" w:tentative="1">
      <w:start w:val="1"/>
      <w:numFmt w:val="lowerRoman"/>
      <w:lvlText w:val="%6."/>
      <w:lvlJc w:val="right"/>
      <w:pPr>
        <w:tabs>
          <w:tab w:val="num" w:pos="4320"/>
        </w:tabs>
        <w:ind w:left="4320" w:hanging="180"/>
      </w:pPr>
    </w:lvl>
    <w:lvl w:ilvl="6" w:tplc="CD7A5E20" w:tentative="1">
      <w:start w:val="1"/>
      <w:numFmt w:val="decimal"/>
      <w:lvlText w:val="%7."/>
      <w:lvlJc w:val="left"/>
      <w:pPr>
        <w:tabs>
          <w:tab w:val="num" w:pos="5040"/>
        </w:tabs>
        <w:ind w:left="5040" w:hanging="360"/>
      </w:pPr>
    </w:lvl>
    <w:lvl w:ilvl="7" w:tplc="443AF454" w:tentative="1">
      <w:start w:val="1"/>
      <w:numFmt w:val="lowerLetter"/>
      <w:lvlText w:val="%8."/>
      <w:lvlJc w:val="left"/>
      <w:pPr>
        <w:tabs>
          <w:tab w:val="num" w:pos="5760"/>
        </w:tabs>
        <w:ind w:left="5760" w:hanging="360"/>
      </w:pPr>
    </w:lvl>
    <w:lvl w:ilvl="8" w:tplc="DE085944" w:tentative="1">
      <w:start w:val="1"/>
      <w:numFmt w:val="lowerRoman"/>
      <w:lvlText w:val="%9."/>
      <w:lvlJc w:val="right"/>
      <w:pPr>
        <w:tabs>
          <w:tab w:val="num" w:pos="6480"/>
        </w:tabs>
        <w:ind w:left="6480" w:hanging="180"/>
      </w:pPr>
    </w:lvl>
  </w:abstractNum>
  <w:abstractNum w:abstractNumId="4" w15:restartNumberingAfterBreak="0">
    <w:nsid w:val="7B51380B"/>
    <w:multiLevelType w:val="hybridMultilevel"/>
    <w:tmpl w:val="49802D42"/>
    <w:lvl w:ilvl="0" w:tplc="4F60645A">
      <w:numFmt w:val="bullet"/>
      <w:lvlText w:val="-"/>
      <w:lvlJc w:val="left"/>
      <w:pPr>
        <w:ind w:left="717" w:hanging="360"/>
      </w:pPr>
      <w:rPr>
        <w:rFonts w:ascii="Sparkasse Rg" w:eastAsia="Times New Roman" w:hAnsi="Sparkasse Rg" w:cs="Times New Roman" w:hint="default"/>
        <w:color w:val="auto"/>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num w:numId="1" w16cid:durableId="1626083917">
    <w:abstractNumId w:val="0"/>
  </w:num>
  <w:num w:numId="2" w16cid:durableId="2089187203">
    <w:abstractNumId w:val="2"/>
  </w:num>
  <w:num w:numId="3" w16cid:durableId="556552746">
    <w:abstractNumId w:val="3"/>
  </w:num>
  <w:num w:numId="4" w16cid:durableId="324628962">
    <w:abstractNumId w:val="1"/>
  </w:num>
  <w:num w:numId="5" w16cid:durableId="197127726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F0"/>
    <w:rsid w:val="00017146"/>
    <w:rsid w:val="000707F0"/>
    <w:rsid w:val="000809BF"/>
    <w:rsid w:val="00084E5E"/>
    <w:rsid w:val="000D4BC0"/>
    <w:rsid w:val="000F0BCD"/>
    <w:rsid w:val="001058F5"/>
    <w:rsid w:val="00106886"/>
    <w:rsid w:val="00144B00"/>
    <w:rsid w:val="00154DA1"/>
    <w:rsid w:val="001C4C9D"/>
    <w:rsid w:val="001D6A38"/>
    <w:rsid w:val="001F57CD"/>
    <w:rsid w:val="00234F2E"/>
    <w:rsid w:val="00246A4A"/>
    <w:rsid w:val="00256494"/>
    <w:rsid w:val="00296A3A"/>
    <w:rsid w:val="002B4FF0"/>
    <w:rsid w:val="002D7CCD"/>
    <w:rsid w:val="00315C45"/>
    <w:rsid w:val="00323D0E"/>
    <w:rsid w:val="00353757"/>
    <w:rsid w:val="00375760"/>
    <w:rsid w:val="0038007D"/>
    <w:rsid w:val="003804A1"/>
    <w:rsid w:val="003C03C6"/>
    <w:rsid w:val="004209AF"/>
    <w:rsid w:val="00421427"/>
    <w:rsid w:val="0045475F"/>
    <w:rsid w:val="00465BE1"/>
    <w:rsid w:val="00474484"/>
    <w:rsid w:val="004D0D20"/>
    <w:rsid w:val="004F6383"/>
    <w:rsid w:val="00512D4D"/>
    <w:rsid w:val="00520244"/>
    <w:rsid w:val="005550C2"/>
    <w:rsid w:val="005B1F22"/>
    <w:rsid w:val="0061157F"/>
    <w:rsid w:val="00632791"/>
    <w:rsid w:val="00633018"/>
    <w:rsid w:val="006807DC"/>
    <w:rsid w:val="006B0B6C"/>
    <w:rsid w:val="006D6148"/>
    <w:rsid w:val="006E35FC"/>
    <w:rsid w:val="00702637"/>
    <w:rsid w:val="00742205"/>
    <w:rsid w:val="0080054D"/>
    <w:rsid w:val="00833F72"/>
    <w:rsid w:val="008349F9"/>
    <w:rsid w:val="00857610"/>
    <w:rsid w:val="00892F33"/>
    <w:rsid w:val="008D0E75"/>
    <w:rsid w:val="0091162E"/>
    <w:rsid w:val="00942C35"/>
    <w:rsid w:val="00971F23"/>
    <w:rsid w:val="00984DDC"/>
    <w:rsid w:val="00986E57"/>
    <w:rsid w:val="009C46EC"/>
    <w:rsid w:val="00A11535"/>
    <w:rsid w:val="00A76745"/>
    <w:rsid w:val="00AA67E2"/>
    <w:rsid w:val="00AB5166"/>
    <w:rsid w:val="00B050BB"/>
    <w:rsid w:val="00B25F7A"/>
    <w:rsid w:val="00B34471"/>
    <w:rsid w:val="00BC3ECB"/>
    <w:rsid w:val="00BF3273"/>
    <w:rsid w:val="00C039D8"/>
    <w:rsid w:val="00C409E0"/>
    <w:rsid w:val="00C61D2B"/>
    <w:rsid w:val="00C70849"/>
    <w:rsid w:val="00C75702"/>
    <w:rsid w:val="00C93BFA"/>
    <w:rsid w:val="00CB4868"/>
    <w:rsid w:val="00CD539C"/>
    <w:rsid w:val="00CD68FC"/>
    <w:rsid w:val="00D02B95"/>
    <w:rsid w:val="00D04985"/>
    <w:rsid w:val="00D21572"/>
    <w:rsid w:val="00D32921"/>
    <w:rsid w:val="00D80D8B"/>
    <w:rsid w:val="00DC7B0B"/>
    <w:rsid w:val="00DD1BCD"/>
    <w:rsid w:val="00DF7E82"/>
    <w:rsid w:val="00E05796"/>
    <w:rsid w:val="00E717B2"/>
    <w:rsid w:val="00E85A64"/>
    <w:rsid w:val="00EA22D1"/>
    <w:rsid w:val="00EB38ED"/>
    <w:rsid w:val="00EC3802"/>
    <w:rsid w:val="00ED2AD3"/>
    <w:rsid w:val="00EF0E58"/>
    <w:rsid w:val="00F06E6B"/>
    <w:rsid w:val="00F20D09"/>
    <w:rsid w:val="00F43A4C"/>
    <w:rsid w:val="00F56211"/>
    <w:rsid w:val="00F6320B"/>
    <w:rsid w:val="00FC729C"/>
    <w:rsid w:val="00FD378D"/>
    <w:rsid w:val="00FE3F40"/>
    <w:rsid w:val="00FF5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CFE32"/>
  <w15:docId w15:val="{0FE38580-5C94-4B38-80A9-388CF0F0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sz w:val="24"/>
    </w:rPr>
  </w:style>
  <w:style w:type="paragraph" w:styleId="berschrift3">
    <w:name w:val="heading 3"/>
    <w:basedOn w:val="Standard"/>
    <w:next w:val="Standard"/>
    <w:qFormat/>
    <w:pPr>
      <w:keepNext/>
      <w:numPr>
        <w:ilvl w:val="2"/>
        <w:numId w:val="1"/>
      </w:numPr>
      <w:spacing w:before="240" w:after="60"/>
      <w:outlineLvl w:val="2"/>
    </w:pPr>
    <w:rPr>
      <w:rFonts w:ascii="Times New Roman" w:hAnsi="Times New Roman"/>
      <w:b/>
      <w:sz w:val="24"/>
    </w:rPr>
  </w:style>
  <w:style w:type="paragraph" w:styleId="berschrift4">
    <w:name w:val="heading 4"/>
    <w:basedOn w:val="Standard"/>
    <w:next w:val="Standard"/>
    <w:qFormat/>
    <w:pPr>
      <w:keepNext/>
      <w:numPr>
        <w:ilvl w:val="3"/>
        <w:numId w:val="1"/>
      </w:numPr>
      <w:spacing w:before="240" w:after="60"/>
      <w:outlineLvl w:val="3"/>
    </w:pPr>
    <w:rPr>
      <w:rFonts w:ascii="Times New Roman" w:hAnsi="Times New Roman"/>
      <w:b/>
      <w:i/>
      <w:sz w:val="24"/>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Zeileneinzug">
    <w:name w:val="Body Text Indent"/>
    <w:basedOn w:val="Standard"/>
    <w:pPr>
      <w:numPr>
        <w:ilvl w:val="12"/>
      </w:numPr>
      <w:tabs>
        <w:tab w:val="left" w:pos="567"/>
      </w:tabs>
      <w:spacing w:before="60"/>
      <w:ind w:left="284" w:hanging="284"/>
    </w:pPr>
  </w:style>
  <w:style w:type="paragraph" w:styleId="Textkrper-Einzug2">
    <w:name w:val="Body Text Indent 2"/>
    <w:basedOn w:val="Standard"/>
    <w:pPr>
      <w:numPr>
        <w:ilvl w:val="12"/>
      </w:numPr>
      <w:tabs>
        <w:tab w:val="left" w:pos="567"/>
      </w:tabs>
      <w:spacing w:before="120"/>
      <w:ind w:left="357" w:hanging="357"/>
    </w:pPr>
  </w:style>
  <w:style w:type="paragraph" w:styleId="Textkrper-Einzug3">
    <w:name w:val="Body Text Indent 3"/>
    <w:basedOn w:val="Standard"/>
    <w:pPr>
      <w:numPr>
        <w:ilvl w:val="12"/>
      </w:numPr>
      <w:tabs>
        <w:tab w:val="left" w:pos="567"/>
      </w:tabs>
      <w:spacing w:before="120"/>
      <w:ind w:left="283" w:hanging="283"/>
    </w:pPr>
    <w:rPr>
      <w:sz w:val="18"/>
    </w:rPr>
  </w:style>
  <w:style w:type="paragraph" w:styleId="Textkrper">
    <w:name w:val="Body Text"/>
    <w:basedOn w:val="Standard"/>
    <w:pPr>
      <w:numPr>
        <w:ilvl w:val="12"/>
      </w:numPr>
      <w:tabs>
        <w:tab w:val="left" w:pos="567"/>
      </w:tabs>
      <w:spacing w:before="120"/>
    </w:pPr>
    <w:rPr>
      <w:b/>
      <w:sz w:val="18"/>
    </w:rPr>
  </w:style>
  <w:style w:type="paragraph" w:styleId="Textkrper2">
    <w:name w:val="Body Text 2"/>
    <w:basedOn w:val="Standard"/>
    <w:pPr>
      <w:tabs>
        <w:tab w:val="left" w:pos="567"/>
      </w:tabs>
      <w:spacing w:before="120"/>
    </w:pPr>
    <w:rPr>
      <w:sz w:val="18"/>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Textkrper3">
    <w:name w:val="Body Text 3"/>
    <w:basedOn w:val="Standard"/>
    <w:pPr>
      <w:tabs>
        <w:tab w:val="left" w:pos="567"/>
      </w:tabs>
      <w:spacing w:before="120"/>
    </w:pPr>
    <w:rPr>
      <w:b/>
      <w:i/>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Listenabsatz">
    <w:name w:val="List Paragraph"/>
    <w:basedOn w:val="Standard"/>
    <w:uiPriority w:val="34"/>
    <w:qFormat/>
    <w:rsid w:val="00DC7B0B"/>
    <w:pPr>
      <w:ind w:left="720"/>
      <w:contextualSpacing/>
    </w:pPr>
  </w:style>
  <w:style w:type="paragraph" w:styleId="berarbeitung">
    <w:name w:val="Revision"/>
    <w:hidden/>
    <w:uiPriority w:val="99"/>
    <w:semiHidden/>
    <w:rsid w:val="00ED2A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5890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Checkliste Ereignisse nach Stichtag</vt:lpstr>
    </vt:vector>
  </TitlesOfParts>
  <Company>vtw</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Ereignisse nach Stichtag</dc:title>
  <dc:creator>Kube</dc:creator>
  <cp:lastModifiedBy>Michael Kube</cp:lastModifiedBy>
  <cp:revision>11</cp:revision>
  <cp:lastPrinted>2022-08-25T08:25:00Z</cp:lastPrinted>
  <dcterms:created xsi:type="dcterms:W3CDTF">2023-12-06T07:49:00Z</dcterms:created>
  <dcterms:modified xsi:type="dcterms:W3CDTF">2024-01-29T08:34:00Z</dcterms:modified>
</cp:coreProperties>
</file>