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A36D" w14:textId="77777777" w:rsidR="001A5557" w:rsidRPr="000809BF" w:rsidRDefault="001A5557" w:rsidP="001A5557">
      <w:pPr>
        <w:pageBreakBefore/>
        <w:tabs>
          <w:tab w:val="left" w:pos="567"/>
        </w:tabs>
        <w:spacing w:before="120"/>
        <w:jc w:val="center"/>
        <w:rPr>
          <w:rFonts w:cs="Arial"/>
          <w:b/>
          <w:szCs w:val="22"/>
        </w:rPr>
      </w:pPr>
      <w:r w:rsidRPr="000809BF">
        <w:rPr>
          <w:rFonts w:cs="Arial"/>
          <w:b/>
          <w:szCs w:val="22"/>
        </w:rPr>
        <w:t xml:space="preserve">Checkliste: Ordnungsmäßigkeit Geschäftsführung </w:t>
      </w:r>
    </w:p>
    <w:p w14:paraId="135675BA" w14:textId="77777777" w:rsidR="001A5557" w:rsidRPr="000809BF" w:rsidRDefault="001A5557" w:rsidP="001A5557">
      <w:pPr>
        <w:tabs>
          <w:tab w:val="left" w:pos="567"/>
        </w:tabs>
        <w:spacing w:before="120"/>
        <w:rPr>
          <w:rFonts w:cs="Arial"/>
          <w:b/>
          <w:szCs w:val="22"/>
        </w:rPr>
      </w:pPr>
    </w:p>
    <w:p w14:paraId="322A5B48" w14:textId="452D59B4" w:rsidR="00C23305" w:rsidRPr="00C23305" w:rsidRDefault="001A5557" w:rsidP="00C23305">
      <w:pPr>
        <w:jc w:val="both"/>
        <w:rPr>
          <w:rFonts w:eastAsia="Calibri" w:cs="Times New Roman"/>
        </w:rPr>
      </w:pPr>
      <w:r w:rsidRPr="00C23305">
        <w:rPr>
          <w:rFonts w:cs="Arial"/>
          <w:b/>
        </w:rPr>
        <w:t>Vorbemerkung:</w:t>
      </w:r>
      <w:r w:rsidRPr="00C23305">
        <w:rPr>
          <w:rFonts w:cs="Arial"/>
        </w:rPr>
        <w:t xml:space="preserve"> </w:t>
      </w:r>
      <w:r w:rsidR="00C23305" w:rsidRPr="00C23305">
        <w:rPr>
          <w:rFonts w:eastAsia="Calibri" w:cs="Times New Roman"/>
        </w:rPr>
        <w:t xml:space="preserve">Die Checkliste wurde mit der Justiziarin des vtw, Frau Dithmar, entwickelt und greift die Aspekte Satzung, Vorstandsbestellung sowie Konzeption/Durchführung Mitgliederversammlung und Aufsichtsratswahl auf. </w:t>
      </w:r>
    </w:p>
    <w:p w14:paraId="76EF0DF9" w14:textId="1DFCA79C" w:rsidR="00C23305" w:rsidRPr="00C23305" w:rsidRDefault="00C23305" w:rsidP="00C23305">
      <w:pPr>
        <w:tabs>
          <w:tab w:val="left" w:pos="567"/>
        </w:tabs>
        <w:spacing w:before="120"/>
        <w:jc w:val="both"/>
        <w:rPr>
          <w:rFonts w:cs="Arial"/>
        </w:rPr>
      </w:pPr>
      <w:r w:rsidRPr="00C23305">
        <w:rPr>
          <w:rFonts w:eastAsia="Calibri" w:cs="Times New Roman"/>
        </w:rPr>
        <w:t xml:space="preserve">Die Checkliste enthält neben den Fragen auch umfangreiche Erläuterungen zu den einzelnen Sachverhalten. Von daher sehen wir die Checkliste </w:t>
      </w:r>
      <w:r w:rsidRPr="00C23305">
        <w:rPr>
          <w:rFonts w:eastAsia="Calibri" w:cs="Times New Roman"/>
          <w:b/>
          <w:bCs/>
        </w:rPr>
        <w:t>gerade auch für unsere kleinen Mitgliedsunternehmen als Leitfaden bzw. Nachschlagewerk, wenn es um den Prozess der Vorstands(wieder)</w:t>
      </w:r>
      <w:proofErr w:type="spellStart"/>
      <w:r w:rsidRPr="00C23305">
        <w:rPr>
          <w:rFonts w:eastAsia="Calibri" w:cs="Times New Roman"/>
          <w:b/>
          <w:bCs/>
        </w:rPr>
        <w:t>bestellung</w:t>
      </w:r>
      <w:proofErr w:type="spellEnd"/>
      <w:r w:rsidRPr="00C23305">
        <w:rPr>
          <w:rFonts w:eastAsia="Calibri" w:cs="Times New Roman"/>
          <w:b/>
          <w:bCs/>
        </w:rPr>
        <w:t xml:space="preserve"> bzw. um die Ausrichtung der Mitgliederversammlung und die Aufsichtsratswahl geht.</w:t>
      </w:r>
    </w:p>
    <w:p w14:paraId="706DAF9F" w14:textId="0FE8FA5E" w:rsidR="00DB7A37" w:rsidRPr="004B27F9" w:rsidRDefault="00DB7A37" w:rsidP="004B27F9">
      <w:pPr>
        <w:tabs>
          <w:tab w:val="left" w:pos="567"/>
        </w:tabs>
        <w:spacing w:before="120"/>
        <w:jc w:val="both"/>
        <w:rPr>
          <w:rFonts w:cs="Arial"/>
          <w:szCs w:val="22"/>
        </w:rPr>
      </w:pPr>
    </w:p>
    <w:p w14:paraId="3E8C769E" w14:textId="0C6389E3" w:rsidR="00DB08F7" w:rsidRDefault="00DB08F7">
      <w:r>
        <w:br w:type="page"/>
      </w:r>
    </w:p>
    <w:tbl>
      <w:tblPr>
        <w:tblStyle w:val="Tabellenraster"/>
        <w:tblW w:w="10348" w:type="dxa"/>
        <w:tblInd w:w="-714" w:type="dxa"/>
        <w:tblLook w:val="04A0" w:firstRow="1" w:lastRow="0" w:firstColumn="1" w:lastColumn="0" w:noHBand="0" w:noVBand="1"/>
      </w:tblPr>
      <w:tblGrid>
        <w:gridCol w:w="4537"/>
        <w:gridCol w:w="850"/>
        <w:gridCol w:w="851"/>
        <w:gridCol w:w="4110"/>
      </w:tblGrid>
      <w:tr w:rsidR="00C87CC4" w14:paraId="7697F203" w14:textId="77777777" w:rsidTr="00B85B97">
        <w:trPr>
          <w:trHeight w:val="1119"/>
          <w:tblHeader/>
        </w:trPr>
        <w:tc>
          <w:tcPr>
            <w:tcW w:w="4537" w:type="dxa"/>
          </w:tcPr>
          <w:p w14:paraId="1107FB9D" w14:textId="0716EC2A" w:rsidR="00C87CC4" w:rsidRDefault="00C87CC4" w:rsidP="00C87CC4">
            <w:pPr>
              <w:spacing w:before="240" w:line="276" w:lineRule="auto"/>
            </w:pPr>
            <w:r w:rsidRPr="000809BF">
              <w:rPr>
                <w:rFonts w:cs="Arial"/>
                <w:b/>
                <w:szCs w:val="22"/>
              </w:rPr>
              <w:lastRenderedPageBreak/>
              <w:t>Rechtsnorm</w:t>
            </w:r>
            <w:r>
              <w:rPr>
                <w:rFonts w:cs="Arial"/>
                <w:b/>
                <w:szCs w:val="22"/>
              </w:rPr>
              <w:t xml:space="preserve"> / Thema</w:t>
            </w:r>
          </w:p>
        </w:tc>
        <w:tc>
          <w:tcPr>
            <w:tcW w:w="850" w:type="dxa"/>
          </w:tcPr>
          <w:p w14:paraId="7A4C6922" w14:textId="40DBC7DF" w:rsidR="00C87CC4" w:rsidRDefault="00C87CC4" w:rsidP="00C87CC4">
            <w:pPr>
              <w:spacing w:before="240" w:line="276" w:lineRule="auto"/>
              <w:jc w:val="center"/>
            </w:pPr>
            <w:r w:rsidRPr="000809BF">
              <w:rPr>
                <w:rFonts w:cs="Arial"/>
                <w:b/>
                <w:szCs w:val="22"/>
              </w:rPr>
              <w:t>Ja</w:t>
            </w:r>
          </w:p>
        </w:tc>
        <w:tc>
          <w:tcPr>
            <w:tcW w:w="851" w:type="dxa"/>
          </w:tcPr>
          <w:p w14:paraId="606A38E8" w14:textId="75AAAC6B" w:rsidR="00C87CC4" w:rsidRDefault="00C87CC4" w:rsidP="00C87CC4">
            <w:pPr>
              <w:spacing w:before="240" w:line="276" w:lineRule="auto"/>
              <w:jc w:val="center"/>
            </w:pPr>
            <w:r w:rsidRPr="000809BF">
              <w:rPr>
                <w:rFonts w:cs="Arial"/>
                <w:b/>
                <w:szCs w:val="22"/>
              </w:rPr>
              <w:t>Nein</w:t>
            </w:r>
          </w:p>
        </w:tc>
        <w:tc>
          <w:tcPr>
            <w:tcW w:w="4110" w:type="dxa"/>
          </w:tcPr>
          <w:p w14:paraId="66160A59" w14:textId="57205F5A" w:rsidR="00C87CC4" w:rsidRDefault="00C87CC4" w:rsidP="00C87CC4">
            <w:pPr>
              <w:spacing w:before="240" w:line="276" w:lineRule="auto"/>
            </w:pPr>
            <w:r w:rsidRPr="000809BF">
              <w:rPr>
                <w:rFonts w:cs="Arial"/>
                <w:b/>
                <w:szCs w:val="22"/>
              </w:rPr>
              <w:t xml:space="preserve">Bemerkungen, Gesprächspartner, </w:t>
            </w:r>
            <w:r w:rsidRPr="000809BF">
              <w:rPr>
                <w:rFonts w:cs="Arial"/>
                <w:b/>
                <w:szCs w:val="22"/>
              </w:rPr>
              <w:br/>
              <w:t>Ergebnisse</w:t>
            </w:r>
          </w:p>
        </w:tc>
      </w:tr>
      <w:tr w:rsidR="00C87CC4" w14:paraId="613B3B2D" w14:textId="77777777" w:rsidTr="004B5E80">
        <w:tc>
          <w:tcPr>
            <w:tcW w:w="4537" w:type="dxa"/>
          </w:tcPr>
          <w:p w14:paraId="3576E8D2" w14:textId="77777777" w:rsidR="00C87CC4" w:rsidRPr="004C415F" w:rsidRDefault="00C87CC4" w:rsidP="004B5E80">
            <w:pPr>
              <w:tabs>
                <w:tab w:val="left" w:pos="567"/>
              </w:tabs>
              <w:spacing w:before="120"/>
              <w:rPr>
                <w:rFonts w:cs="Arial"/>
                <w:color w:val="0A2F41" w:themeColor="accent1" w:themeShade="80"/>
                <w:sz w:val="28"/>
                <w:szCs w:val="28"/>
              </w:rPr>
            </w:pPr>
            <w:r w:rsidRPr="004C415F">
              <w:rPr>
                <w:rFonts w:cs="Arial"/>
                <w:b/>
                <w:bCs/>
                <w:color w:val="0A2F41" w:themeColor="accent1" w:themeShade="80"/>
                <w:sz w:val="28"/>
                <w:szCs w:val="28"/>
              </w:rPr>
              <w:t>Mustersatzung GdW 9/2022</w:t>
            </w:r>
          </w:p>
          <w:p w14:paraId="2DCE9110" w14:textId="77777777" w:rsidR="00C87CC4" w:rsidRPr="00D719D9" w:rsidRDefault="00C87CC4" w:rsidP="004B5E80">
            <w:pPr>
              <w:spacing w:before="120"/>
              <w:rPr>
                <w:rFonts w:cs="Arial"/>
                <w:b/>
                <w:bCs/>
                <w:szCs w:val="22"/>
              </w:rPr>
            </w:pPr>
            <w:r w:rsidRPr="00D719D9">
              <w:rPr>
                <w:rFonts w:cs="Arial"/>
                <w:b/>
                <w:bCs/>
                <w:szCs w:val="22"/>
              </w:rPr>
              <w:t>Liegt eine aktuelle Satzung vor?</w:t>
            </w:r>
          </w:p>
          <w:p w14:paraId="689FE54E" w14:textId="27A3658A" w:rsidR="00C87CC4" w:rsidRPr="004B5E80" w:rsidRDefault="00C87CC4" w:rsidP="003233AA">
            <w:pPr>
              <w:spacing w:before="120" w:line="276" w:lineRule="auto"/>
              <w:jc w:val="both"/>
              <w:rPr>
                <w:rFonts w:cs="Arial"/>
                <w:sz w:val="22"/>
                <w:szCs w:val="22"/>
              </w:rPr>
            </w:pPr>
            <w:r w:rsidRPr="004B5E80">
              <w:rPr>
                <w:rFonts w:cs="Arial"/>
                <w:sz w:val="22"/>
                <w:szCs w:val="22"/>
              </w:rPr>
              <w:t xml:space="preserve">Grundsätzliche Erwartungshaltung ist, bis spätestens in der GV 2025 eine Anpassung an die aktuelle Mustersatzung September 2022 vorzunehmen. Sofern keine Anpassung an die Mustersatzung gewollt ist, </w:t>
            </w:r>
            <w:r w:rsidR="00C23305">
              <w:rPr>
                <w:rFonts w:cs="Arial"/>
                <w:sz w:val="22"/>
                <w:szCs w:val="22"/>
              </w:rPr>
              <w:t>sollte</w:t>
            </w:r>
            <w:r w:rsidRPr="004B5E80">
              <w:rPr>
                <w:rFonts w:cs="Arial"/>
                <w:sz w:val="22"/>
                <w:szCs w:val="22"/>
              </w:rPr>
              <w:t xml:space="preserve"> dies entsprechend begründe</w:t>
            </w:r>
            <w:r w:rsidR="00C23305">
              <w:rPr>
                <w:rFonts w:cs="Arial"/>
                <w:sz w:val="22"/>
                <w:szCs w:val="22"/>
              </w:rPr>
              <w:t>t</w:t>
            </w:r>
            <w:r w:rsidRPr="004B5E80">
              <w:rPr>
                <w:rFonts w:cs="Arial"/>
                <w:sz w:val="22"/>
                <w:szCs w:val="22"/>
              </w:rPr>
              <w:t xml:space="preserve"> und dokumentier</w:t>
            </w:r>
            <w:r w:rsidR="00C23305">
              <w:rPr>
                <w:rFonts w:cs="Arial"/>
                <w:sz w:val="22"/>
                <w:szCs w:val="22"/>
              </w:rPr>
              <w:t>t sein</w:t>
            </w:r>
            <w:r w:rsidRPr="004B5E80">
              <w:rPr>
                <w:rFonts w:cs="Arial"/>
                <w:sz w:val="22"/>
                <w:szCs w:val="22"/>
              </w:rPr>
              <w:t>.</w:t>
            </w:r>
          </w:p>
          <w:p w14:paraId="592CE103" w14:textId="00E865B8" w:rsidR="00C87CC4" w:rsidRPr="004B5E80" w:rsidRDefault="00C87CC4" w:rsidP="003233AA">
            <w:pPr>
              <w:spacing w:before="120" w:line="276" w:lineRule="auto"/>
              <w:jc w:val="both"/>
              <w:rPr>
                <w:rFonts w:cs="Arial"/>
                <w:sz w:val="22"/>
                <w:szCs w:val="22"/>
              </w:rPr>
            </w:pPr>
            <w:r w:rsidRPr="004B5E80">
              <w:rPr>
                <w:rFonts w:cs="Arial"/>
                <w:sz w:val="22"/>
                <w:szCs w:val="22"/>
                <w:u w:val="single"/>
              </w:rPr>
              <w:t>Hinweis zur geplanten Novellierung des Genossenschaftsgesetzes</w:t>
            </w:r>
            <w:r w:rsidRPr="004B5E80">
              <w:rPr>
                <w:rFonts w:cs="Arial"/>
                <w:sz w:val="22"/>
                <w:szCs w:val="22"/>
              </w:rPr>
              <w:t xml:space="preserve">: Im Rahmen des </w:t>
            </w:r>
            <w:r w:rsidR="00421D55">
              <w:rPr>
                <w:rFonts w:cs="Arial"/>
                <w:sz w:val="22"/>
                <w:szCs w:val="22"/>
              </w:rPr>
              <w:br/>
            </w:r>
            <w:r w:rsidRPr="004B5E80">
              <w:rPr>
                <w:rFonts w:cs="Arial"/>
                <w:sz w:val="22"/>
                <w:szCs w:val="22"/>
              </w:rPr>
              <w:t xml:space="preserve">4. Bürokratieentlastungsgesetzes, welches ab 01.01.2025 gilt, wurden einige wenige Änderungen des Genossenschaftsgesetzes vorgezogen. Insbesondere ist jetzt die Textform, statt der Schriftform vorgesehen. Dies gilt u.a. für Beitritt, Übertragung und Kündigung der Mitgliedschaft in einer Genossenschaft. In der Satzung kann weiterhin die Schriftform vorgesehen werden. Weitere Änderungen des Genossenschaftsgesetzes (es liegt ein Regierungsentwurf vor) könnten nach einer Neuwahl auf Bundesebene wieder aufgegriffen werden. Eine erneute Anpassung der Mustersatzung des GdW (vom GdW-FA Recht </w:t>
            </w:r>
            <w:r w:rsidR="00C23305" w:rsidRPr="004B5E80">
              <w:rPr>
                <w:rFonts w:cs="Arial"/>
                <w:sz w:val="22"/>
                <w:szCs w:val="22"/>
              </w:rPr>
              <w:t xml:space="preserve">Stand November 2024 </w:t>
            </w:r>
            <w:r w:rsidRPr="004B5E80">
              <w:rPr>
                <w:rFonts w:cs="Arial"/>
                <w:sz w:val="22"/>
                <w:szCs w:val="22"/>
              </w:rPr>
              <w:t>nicht vorgesehen) ist möglich. Es ist derzeit nicht absehbar, wann das Gesetzgebungsverfahren abgeschlossen wird.</w:t>
            </w:r>
          </w:p>
          <w:p w14:paraId="1E7C7243" w14:textId="77777777" w:rsidR="00C87CC4" w:rsidRDefault="00C87CC4" w:rsidP="004B5E80">
            <w:pPr>
              <w:jc w:val="center"/>
            </w:pPr>
          </w:p>
          <w:p w14:paraId="31EEBC7E" w14:textId="77777777" w:rsidR="00C87CC4" w:rsidRDefault="00C87CC4"/>
          <w:p w14:paraId="64602711" w14:textId="77777777" w:rsidR="00C87CC4" w:rsidRDefault="00C87CC4"/>
          <w:p w14:paraId="2290E466" w14:textId="77777777" w:rsidR="00C87CC4" w:rsidRDefault="00C87CC4"/>
          <w:p w14:paraId="53E781C9" w14:textId="77777777" w:rsidR="00C87CC4" w:rsidRDefault="00C87CC4"/>
          <w:p w14:paraId="641CB048" w14:textId="77777777" w:rsidR="00C87CC4" w:rsidRDefault="00C87CC4"/>
          <w:p w14:paraId="11933FB8" w14:textId="77777777" w:rsidR="00C87CC4" w:rsidRDefault="00C87CC4"/>
          <w:p w14:paraId="2A4FFD10" w14:textId="77777777" w:rsidR="00C87CC4" w:rsidRDefault="00C87CC4"/>
          <w:p w14:paraId="5BDF67FD" w14:textId="77777777" w:rsidR="00C87CC4" w:rsidRDefault="00C87CC4"/>
          <w:p w14:paraId="737D4533" w14:textId="77777777" w:rsidR="00F50E49" w:rsidRDefault="00F50E49"/>
          <w:p w14:paraId="23E2946A" w14:textId="77777777" w:rsidR="00F50E49" w:rsidRDefault="00F50E49"/>
          <w:p w14:paraId="0CB3ED85" w14:textId="77777777" w:rsidR="006D06A8" w:rsidRDefault="006D06A8"/>
          <w:p w14:paraId="3620FABF" w14:textId="77777777" w:rsidR="006D06A8" w:rsidRDefault="006D06A8"/>
          <w:p w14:paraId="3E2C5CB1" w14:textId="77777777" w:rsidR="00F50E49" w:rsidRDefault="00F50E49"/>
        </w:tc>
        <w:tc>
          <w:tcPr>
            <w:tcW w:w="850" w:type="dxa"/>
          </w:tcPr>
          <w:p w14:paraId="46ECD907" w14:textId="77777777" w:rsidR="00C87CC4" w:rsidRDefault="00C87CC4"/>
        </w:tc>
        <w:tc>
          <w:tcPr>
            <w:tcW w:w="851" w:type="dxa"/>
          </w:tcPr>
          <w:p w14:paraId="074EBC82" w14:textId="77777777" w:rsidR="00C87CC4" w:rsidRDefault="00C87CC4"/>
        </w:tc>
        <w:tc>
          <w:tcPr>
            <w:tcW w:w="4110" w:type="dxa"/>
          </w:tcPr>
          <w:p w14:paraId="72A28E55" w14:textId="77777777" w:rsidR="00C87CC4" w:rsidRDefault="00C87CC4"/>
        </w:tc>
      </w:tr>
      <w:tr w:rsidR="00B85B97" w14:paraId="05887241" w14:textId="77777777" w:rsidTr="004B5E80">
        <w:trPr>
          <w:trHeight w:val="978"/>
        </w:trPr>
        <w:tc>
          <w:tcPr>
            <w:tcW w:w="4537" w:type="dxa"/>
          </w:tcPr>
          <w:p w14:paraId="2D0886B3" w14:textId="77777777" w:rsidR="00B85B97" w:rsidRPr="004C415F" w:rsidRDefault="00B85B97" w:rsidP="00F84767">
            <w:pPr>
              <w:widowControl w:val="0"/>
              <w:tabs>
                <w:tab w:val="left" w:pos="567"/>
              </w:tabs>
              <w:spacing w:before="120"/>
              <w:rPr>
                <w:rFonts w:cs="Arial"/>
                <w:b/>
                <w:bCs/>
                <w:color w:val="0A2F41" w:themeColor="accent1" w:themeShade="80"/>
                <w:sz w:val="28"/>
                <w:szCs w:val="28"/>
              </w:rPr>
            </w:pPr>
            <w:r w:rsidRPr="004C415F">
              <w:rPr>
                <w:rFonts w:cs="Arial"/>
                <w:b/>
                <w:bCs/>
                <w:color w:val="0A2F41" w:themeColor="accent1" w:themeShade="80"/>
                <w:sz w:val="28"/>
                <w:szCs w:val="28"/>
              </w:rPr>
              <w:lastRenderedPageBreak/>
              <w:t>Bestellung/Anstellungsvertrag</w:t>
            </w:r>
            <w:r w:rsidRPr="004C415F">
              <w:rPr>
                <w:rFonts w:cs="Arial"/>
                <w:b/>
                <w:bCs/>
                <w:color w:val="0A2F41" w:themeColor="accent1" w:themeShade="80"/>
                <w:sz w:val="28"/>
                <w:szCs w:val="28"/>
              </w:rPr>
              <w:br/>
              <w:t xml:space="preserve">Vorstand </w:t>
            </w:r>
            <w:r w:rsidRPr="004C415F">
              <w:rPr>
                <w:rFonts w:cs="Arial"/>
                <w:b/>
                <w:bCs/>
                <w:color w:val="0A2F41" w:themeColor="accent1" w:themeShade="80"/>
                <w:sz w:val="28"/>
                <w:szCs w:val="28"/>
              </w:rPr>
              <w:br/>
              <w:t>(haupt- bzw. nebenamtlich)</w:t>
            </w:r>
          </w:p>
          <w:p w14:paraId="3B24401E" w14:textId="77777777" w:rsidR="00B85B97" w:rsidRPr="004B5E80" w:rsidRDefault="00B85B97" w:rsidP="006E3855">
            <w:pPr>
              <w:widowControl w:val="0"/>
              <w:tabs>
                <w:tab w:val="left" w:pos="567"/>
              </w:tabs>
              <w:spacing w:before="120"/>
              <w:jc w:val="both"/>
              <w:rPr>
                <w:rFonts w:cs="Arial"/>
                <w:b/>
                <w:bCs/>
                <w:sz w:val="22"/>
                <w:szCs w:val="22"/>
              </w:rPr>
            </w:pPr>
            <w:r w:rsidRPr="004B5E80">
              <w:rPr>
                <w:rFonts w:cs="Arial"/>
                <w:b/>
                <w:bCs/>
                <w:sz w:val="22"/>
                <w:szCs w:val="22"/>
              </w:rPr>
              <w:t>Liegen folgende Beschlüsse des Aufsichtsrates vor?</w:t>
            </w:r>
          </w:p>
          <w:p w14:paraId="78BC967D" w14:textId="07D785BF" w:rsidR="00B85B97" w:rsidRPr="004B5E80" w:rsidRDefault="00B85B97" w:rsidP="00B36013">
            <w:pPr>
              <w:widowControl w:val="0"/>
              <w:tabs>
                <w:tab w:val="left" w:pos="325"/>
              </w:tabs>
              <w:spacing w:before="120"/>
              <w:ind w:left="311" w:hanging="266"/>
              <w:rPr>
                <w:rFonts w:cs="Arial"/>
                <w:b/>
                <w:bCs/>
                <w:sz w:val="22"/>
                <w:szCs w:val="22"/>
              </w:rPr>
            </w:pPr>
            <w:r w:rsidRPr="004B5E80">
              <w:rPr>
                <w:rFonts w:cs="Arial"/>
                <w:b/>
                <w:bCs/>
                <w:sz w:val="22"/>
                <w:szCs w:val="22"/>
              </w:rPr>
              <w:t xml:space="preserve">a) </w:t>
            </w:r>
            <w:r w:rsidR="00FC6F06">
              <w:rPr>
                <w:rFonts w:cs="Arial"/>
                <w:b/>
                <w:bCs/>
                <w:sz w:val="22"/>
                <w:szCs w:val="22"/>
              </w:rPr>
              <w:tab/>
            </w:r>
            <w:r w:rsidRPr="004B5E80">
              <w:rPr>
                <w:rFonts w:cs="Arial"/>
                <w:b/>
                <w:bCs/>
                <w:sz w:val="22"/>
                <w:szCs w:val="22"/>
              </w:rPr>
              <w:t>Beschluss über die Bestellung als Organ</w:t>
            </w:r>
          </w:p>
          <w:p w14:paraId="75E62035" w14:textId="72329C84" w:rsidR="00B85B97" w:rsidRPr="004B5E80" w:rsidRDefault="00B85B97" w:rsidP="00F84767">
            <w:pPr>
              <w:widowControl w:val="0"/>
              <w:tabs>
                <w:tab w:val="left" w:pos="325"/>
              </w:tabs>
              <w:spacing w:before="120"/>
              <w:ind w:left="311" w:hanging="266"/>
              <w:jc w:val="both"/>
              <w:rPr>
                <w:rFonts w:cs="Arial"/>
                <w:b/>
                <w:bCs/>
                <w:sz w:val="22"/>
                <w:szCs w:val="22"/>
              </w:rPr>
            </w:pPr>
            <w:r w:rsidRPr="004B5E80">
              <w:rPr>
                <w:rFonts w:cs="Arial"/>
                <w:b/>
                <w:bCs/>
                <w:sz w:val="22"/>
                <w:szCs w:val="22"/>
              </w:rPr>
              <w:t xml:space="preserve">b) </w:t>
            </w:r>
            <w:r w:rsidR="00FC6F06">
              <w:rPr>
                <w:rFonts w:cs="Arial"/>
                <w:b/>
                <w:bCs/>
                <w:sz w:val="22"/>
                <w:szCs w:val="22"/>
              </w:rPr>
              <w:tab/>
            </w:r>
            <w:r w:rsidRPr="004B5E80">
              <w:rPr>
                <w:rFonts w:cs="Arial"/>
                <w:b/>
                <w:bCs/>
                <w:sz w:val="22"/>
                <w:szCs w:val="22"/>
              </w:rPr>
              <w:t xml:space="preserve">Beschluss über den Anstellungsvertrag: Lag der Anstellungsvertrag allen Aufsichtsratsmitgliedern bei der Beschlussfassung vor? </w:t>
            </w:r>
          </w:p>
          <w:p w14:paraId="186E998D" w14:textId="77777777" w:rsidR="00B85B97" w:rsidRPr="00FE42DE" w:rsidRDefault="00B85B97" w:rsidP="006E3855">
            <w:pPr>
              <w:widowControl w:val="0"/>
              <w:tabs>
                <w:tab w:val="left" w:pos="325"/>
                <w:tab w:val="left" w:pos="567"/>
              </w:tabs>
              <w:spacing w:before="120"/>
              <w:ind w:left="311"/>
              <w:jc w:val="both"/>
              <w:rPr>
                <w:rFonts w:cs="Arial"/>
                <w:sz w:val="18"/>
                <w:szCs w:val="18"/>
              </w:rPr>
            </w:pPr>
            <w:r w:rsidRPr="00FE42DE">
              <w:rPr>
                <w:rFonts w:cs="Arial"/>
                <w:sz w:val="18"/>
                <w:szCs w:val="18"/>
              </w:rPr>
              <w:t xml:space="preserve">Zweck der Kenntnis des Anstellungsvertrages ist, dass allen Aufsichtsratsmitgliedern bei Beschlussfassung die Rahmenparameter bekannt sind. </w:t>
            </w:r>
          </w:p>
          <w:p w14:paraId="66057948" w14:textId="6DDCD485" w:rsidR="00B85B97" w:rsidRPr="00FE42DE" w:rsidRDefault="00B85B97" w:rsidP="007D630B">
            <w:pPr>
              <w:widowControl w:val="0"/>
              <w:tabs>
                <w:tab w:val="left" w:pos="325"/>
                <w:tab w:val="left" w:pos="567"/>
              </w:tabs>
              <w:spacing w:before="120"/>
              <w:ind w:left="311" w:firstLine="14"/>
              <w:jc w:val="both"/>
              <w:rPr>
                <w:sz w:val="18"/>
                <w:szCs w:val="18"/>
              </w:rPr>
            </w:pPr>
            <w:r w:rsidRPr="00FE42DE">
              <w:rPr>
                <w:rFonts w:cs="Arial"/>
                <w:sz w:val="18"/>
                <w:szCs w:val="18"/>
              </w:rPr>
              <w:t>Die beiden Beschlüsse können auch in einem Beschluss zusammengefasst werden.</w:t>
            </w:r>
            <w:r w:rsidRPr="00FE42DE">
              <w:rPr>
                <w:sz w:val="18"/>
                <w:szCs w:val="18"/>
              </w:rPr>
              <w:t xml:space="preserve"> </w:t>
            </w:r>
          </w:p>
          <w:p w14:paraId="7B0AAECC" w14:textId="77777777" w:rsidR="00B85B97" w:rsidRPr="004B5E80" w:rsidRDefault="00B85B97" w:rsidP="007D630B">
            <w:pPr>
              <w:widowControl w:val="0"/>
              <w:tabs>
                <w:tab w:val="left" w:pos="325"/>
              </w:tabs>
              <w:spacing w:before="120"/>
              <w:ind w:left="311" w:hanging="266"/>
              <w:jc w:val="both"/>
              <w:rPr>
                <w:rFonts w:cs="Arial"/>
                <w:b/>
                <w:bCs/>
                <w:sz w:val="22"/>
                <w:szCs w:val="22"/>
              </w:rPr>
            </w:pPr>
            <w:r w:rsidRPr="004B5E80">
              <w:rPr>
                <w:rFonts w:cs="Arial"/>
                <w:b/>
                <w:bCs/>
                <w:sz w:val="22"/>
                <w:szCs w:val="22"/>
              </w:rPr>
              <w:t>c) Sind die beiden Beschlüsse bzw. der zusammengefasste Beschluss im Protokoll des Aufsichtsrates dokumentiert?</w:t>
            </w:r>
          </w:p>
          <w:p w14:paraId="63E0BAAC" w14:textId="13FC3AEF" w:rsidR="00B85B97" w:rsidRPr="004B5E80" w:rsidRDefault="00B85B97" w:rsidP="007D630B">
            <w:pPr>
              <w:widowControl w:val="0"/>
              <w:tabs>
                <w:tab w:val="left" w:pos="567"/>
              </w:tabs>
              <w:spacing w:before="240"/>
              <w:rPr>
                <w:rFonts w:cs="Arial"/>
                <w:b/>
                <w:bCs/>
                <w:sz w:val="22"/>
                <w:szCs w:val="22"/>
              </w:rPr>
            </w:pPr>
            <w:r w:rsidRPr="004B5E80">
              <w:rPr>
                <w:rFonts w:cs="Arial"/>
                <w:b/>
                <w:bCs/>
                <w:sz w:val="22"/>
                <w:szCs w:val="22"/>
              </w:rPr>
              <w:t>Liegt ein aktueller Anstellungsvertrag vor?</w:t>
            </w:r>
          </w:p>
          <w:p w14:paraId="3F664E59" w14:textId="77777777" w:rsidR="00B85B97" w:rsidRPr="00FE42DE" w:rsidRDefault="00B85B97" w:rsidP="006E3855">
            <w:pPr>
              <w:widowControl w:val="0"/>
              <w:tabs>
                <w:tab w:val="left" w:pos="567"/>
              </w:tabs>
              <w:spacing w:before="120"/>
              <w:jc w:val="both"/>
              <w:rPr>
                <w:rFonts w:cs="Arial"/>
                <w:sz w:val="18"/>
                <w:szCs w:val="18"/>
              </w:rPr>
            </w:pPr>
            <w:r w:rsidRPr="00FE42DE">
              <w:rPr>
                <w:rFonts w:cs="Arial"/>
                <w:sz w:val="18"/>
                <w:szCs w:val="18"/>
              </w:rPr>
              <w:t>Erforderlich bei hauptamtlichen und nebenamtlichen Vorstandsmitgliedern; seitens des GdW/AGV liegt ein Musteranstellungsvertrag von Mai 2024 vor. Dieser kann bei Frau Dithmar angefordert werden.</w:t>
            </w:r>
          </w:p>
          <w:p w14:paraId="52D87B75" w14:textId="77777777" w:rsidR="00B85B97" w:rsidRPr="004B5E80" w:rsidRDefault="00B85B97" w:rsidP="007D630B">
            <w:pPr>
              <w:widowControl w:val="0"/>
              <w:tabs>
                <w:tab w:val="left" w:pos="567"/>
              </w:tabs>
              <w:spacing w:before="240"/>
              <w:jc w:val="both"/>
              <w:rPr>
                <w:rFonts w:cs="Arial"/>
                <w:b/>
                <w:bCs/>
                <w:sz w:val="22"/>
                <w:szCs w:val="22"/>
              </w:rPr>
            </w:pPr>
            <w:r w:rsidRPr="004B5E80">
              <w:rPr>
                <w:rFonts w:cs="Arial"/>
                <w:b/>
                <w:bCs/>
                <w:sz w:val="22"/>
                <w:szCs w:val="22"/>
              </w:rPr>
              <w:t xml:space="preserve">Ist bei nebenamtlichen Vorständen eine Anmeldung zur Sozialversicherung erfolgt? </w:t>
            </w:r>
          </w:p>
          <w:p w14:paraId="56050A26" w14:textId="77777777" w:rsidR="00B85B97" w:rsidRPr="00FE42DE" w:rsidRDefault="00B85B97" w:rsidP="006E3855">
            <w:pPr>
              <w:widowControl w:val="0"/>
              <w:tabs>
                <w:tab w:val="left" w:pos="567"/>
              </w:tabs>
              <w:spacing w:before="120"/>
              <w:jc w:val="both"/>
              <w:rPr>
                <w:rFonts w:cs="Arial"/>
                <w:sz w:val="18"/>
                <w:szCs w:val="18"/>
              </w:rPr>
            </w:pPr>
            <w:r w:rsidRPr="00FE42DE">
              <w:rPr>
                <w:rFonts w:cs="Arial"/>
                <w:sz w:val="18"/>
                <w:szCs w:val="18"/>
              </w:rPr>
              <w:t>Diesbezüglich wird auf das GdW/AGV-Rundschreiben vom 29. Mai 2024 verwiesen.</w:t>
            </w:r>
          </w:p>
          <w:p w14:paraId="1A633B0F" w14:textId="77777777" w:rsidR="00B85B97" w:rsidRPr="004B5E80" w:rsidRDefault="00B85B97" w:rsidP="007D630B">
            <w:pPr>
              <w:widowControl w:val="0"/>
              <w:tabs>
                <w:tab w:val="left" w:pos="567"/>
              </w:tabs>
              <w:spacing w:before="240"/>
              <w:rPr>
                <w:rFonts w:cs="Arial"/>
                <w:b/>
                <w:bCs/>
                <w:sz w:val="22"/>
                <w:szCs w:val="22"/>
              </w:rPr>
            </w:pPr>
            <w:r w:rsidRPr="004B5E80">
              <w:rPr>
                <w:rFonts w:cs="Arial"/>
                <w:b/>
                <w:bCs/>
                <w:sz w:val="22"/>
                <w:szCs w:val="22"/>
              </w:rPr>
              <w:t xml:space="preserve">Ist eine Wiederbestellung rechtzeitig erfolgt? </w:t>
            </w:r>
          </w:p>
          <w:p w14:paraId="6BDD6D76" w14:textId="51FAEA6E" w:rsidR="00B85B97" w:rsidRPr="00FE42DE" w:rsidRDefault="00B85B97" w:rsidP="006E3855">
            <w:pPr>
              <w:widowControl w:val="0"/>
              <w:tabs>
                <w:tab w:val="left" w:pos="567"/>
              </w:tabs>
              <w:spacing w:before="120"/>
              <w:jc w:val="both"/>
              <w:rPr>
                <w:rFonts w:cs="Arial"/>
                <w:sz w:val="18"/>
                <w:szCs w:val="18"/>
              </w:rPr>
            </w:pPr>
            <w:r w:rsidRPr="00FE42DE">
              <w:rPr>
                <w:rFonts w:cs="Arial"/>
                <w:sz w:val="18"/>
                <w:szCs w:val="18"/>
              </w:rPr>
              <w:t>Die Frist aus dem Anstellungsvertrag für eine Wiederbestellung beträgt i.d.R. 6 bis 8 Monate vor Auslaufen der Bestellung</w:t>
            </w:r>
            <w:r w:rsidR="002F1EBE">
              <w:rPr>
                <w:rFonts w:cs="Arial"/>
                <w:sz w:val="18"/>
                <w:szCs w:val="18"/>
              </w:rPr>
              <w:t>.</w:t>
            </w:r>
          </w:p>
          <w:p w14:paraId="28BD3EDB" w14:textId="77777777" w:rsidR="00B85B97" w:rsidRPr="004B5E80" w:rsidRDefault="00B85B97" w:rsidP="007D630B">
            <w:pPr>
              <w:widowControl w:val="0"/>
              <w:tabs>
                <w:tab w:val="left" w:pos="567"/>
              </w:tabs>
              <w:spacing w:before="240"/>
              <w:rPr>
                <w:rFonts w:cs="Arial"/>
                <w:b/>
                <w:bCs/>
                <w:sz w:val="22"/>
                <w:szCs w:val="22"/>
              </w:rPr>
            </w:pPr>
            <w:r w:rsidRPr="004B5E80">
              <w:rPr>
                <w:rFonts w:cs="Arial"/>
                <w:b/>
                <w:bCs/>
                <w:sz w:val="22"/>
                <w:szCs w:val="22"/>
              </w:rPr>
              <w:t>Ist der Anstellungsvertrag bei Wiederbestellung aktualisiert worden?</w:t>
            </w:r>
          </w:p>
          <w:p w14:paraId="7F211C1D" w14:textId="77777777" w:rsidR="00B85B97" w:rsidRPr="004B5E80" w:rsidRDefault="00B85B97" w:rsidP="007D630B">
            <w:pPr>
              <w:widowControl w:val="0"/>
              <w:tabs>
                <w:tab w:val="left" w:pos="567"/>
              </w:tabs>
              <w:spacing w:before="240"/>
              <w:rPr>
                <w:rFonts w:cs="Arial"/>
                <w:b/>
                <w:bCs/>
                <w:sz w:val="22"/>
                <w:szCs w:val="22"/>
              </w:rPr>
            </w:pPr>
            <w:r w:rsidRPr="004B5E80">
              <w:rPr>
                <w:rFonts w:cs="Arial"/>
                <w:b/>
                <w:bCs/>
                <w:sz w:val="22"/>
                <w:szCs w:val="22"/>
              </w:rPr>
              <w:t xml:space="preserve">Liegt bei Erhöhung des Gehalts </w:t>
            </w:r>
            <w:r w:rsidRPr="004B5E80">
              <w:rPr>
                <w:rFonts w:cs="Arial"/>
                <w:b/>
                <w:bCs/>
                <w:sz w:val="22"/>
                <w:szCs w:val="22"/>
              </w:rPr>
              <w:br/>
              <w:t>eines Vorstandsmitglieds:</w:t>
            </w:r>
          </w:p>
          <w:p w14:paraId="5FED20A9" w14:textId="4E6DACA1" w:rsidR="005B3DE3" w:rsidRDefault="00B85B97" w:rsidP="00C23305">
            <w:pPr>
              <w:widowControl w:val="0"/>
              <w:tabs>
                <w:tab w:val="left" w:pos="325"/>
              </w:tabs>
              <w:spacing w:before="120"/>
              <w:ind w:left="311" w:hanging="266"/>
              <w:rPr>
                <w:rFonts w:cs="Arial"/>
                <w:b/>
                <w:bCs/>
                <w:sz w:val="22"/>
                <w:szCs w:val="22"/>
              </w:rPr>
            </w:pPr>
            <w:r w:rsidRPr="004B5E80">
              <w:rPr>
                <w:rFonts w:cs="Arial"/>
                <w:b/>
                <w:bCs/>
                <w:sz w:val="22"/>
                <w:szCs w:val="22"/>
              </w:rPr>
              <w:t xml:space="preserve">a) </w:t>
            </w:r>
            <w:r w:rsidR="002516E9">
              <w:rPr>
                <w:rFonts w:cs="Arial"/>
                <w:b/>
                <w:bCs/>
                <w:sz w:val="22"/>
                <w:szCs w:val="22"/>
              </w:rPr>
              <w:tab/>
            </w:r>
            <w:r w:rsidRPr="004B5E80">
              <w:rPr>
                <w:rFonts w:cs="Arial"/>
                <w:b/>
                <w:bCs/>
                <w:sz w:val="22"/>
                <w:szCs w:val="22"/>
              </w:rPr>
              <w:t xml:space="preserve">ein Beschluss des Aufsichtsrats zur Gehaltserhöhung vor? </w:t>
            </w:r>
          </w:p>
          <w:p w14:paraId="2B592B2A" w14:textId="57F6CB2E" w:rsidR="00B85B97" w:rsidRPr="004B5E80" w:rsidRDefault="00B85B97" w:rsidP="007D630B">
            <w:pPr>
              <w:widowControl w:val="0"/>
              <w:tabs>
                <w:tab w:val="left" w:pos="325"/>
              </w:tabs>
              <w:spacing w:before="120"/>
              <w:ind w:left="311" w:hanging="266"/>
              <w:jc w:val="both"/>
              <w:rPr>
                <w:rFonts w:cs="Arial"/>
                <w:b/>
                <w:bCs/>
                <w:sz w:val="22"/>
                <w:szCs w:val="22"/>
              </w:rPr>
            </w:pPr>
            <w:r w:rsidRPr="004B5E80">
              <w:rPr>
                <w:rFonts w:cs="Arial"/>
                <w:b/>
                <w:bCs/>
                <w:sz w:val="22"/>
                <w:szCs w:val="22"/>
              </w:rPr>
              <w:t xml:space="preserve">b) </w:t>
            </w:r>
            <w:r w:rsidR="005B3DE3">
              <w:rPr>
                <w:rFonts w:cs="Arial"/>
                <w:b/>
                <w:bCs/>
                <w:sz w:val="22"/>
                <w:szCs w:val="22"/>
              </w:rPr>
              <w:tab/>
            </w:r>
            <w:r w:rsidRPr="004B5E80">
              <w:rPr>
                <w:rFonts w:cs="Arial"/>
                <w:b/>
                <w:bCs/>
                <w:sz w:val="22"/>
                <w:szCs w:val="22"/>
              </w:rPr>
              <w:t>Ist dieser im Protokoll ordnungsgemäß protokolliert?</w:t>
            </w:r>
          </w:p>
          <w:p w14:paraId="16D9A8C0" w14:textId="31DD78D5" w:rsidR="00B85B97" w:rsidRPr="00B85B97" w:rsidRDefault="00B85B97" w:rsidP="007D630B">
            <w:pPr>
              <w:widowControl w:val="0"/>
              <w:tabs>
                <w:tab w:val="left" w:pos="325"/>
              </w:tabs>
              <w:spacing w:before="120"/>
              <w:ind w:left="311" w:hanging="266"/>
              <w:jc w:val="both"/>
              <w:rPr>
                <w:rFonts w:cs="Arial"/>
                <w:b/>
                <w:bCs/>
                <w:sz w:val="22"/>
                <w:szCs w:val="22"/>
              </w:rPr>
            </w:pPr>
            <w:r w:rsidRPr="00B85B97">
              <w:rPr>
                <w:rFonts w:cs="Arial"/>
                <w:b/>
                <w:bCs/>
                <w:sz w:val="22"/>
                <w:szCs w:val="22"/>
              </w:rPr>
              <w:lastRenderedPageBreak/>
              <w:t xml:space="preserve">c) </w:t>
            </w:r>
            <w:r w:rsidR="005B3DE3">
              <w:rPr>
                <w:rFonts w:cs="Arial"/>
                <w:b/>
                <w:bCs/>
                <w:sz w:val="22"/>
                <w:szCs w:val="22"/>
              </w:rPr>
              <w:tab/>
            </w:r>
            <w:r w:rsidRPr="00B85B97">
              <w:rPr>
                <w:rFonts w:cs="Arial"/>
                <w:b/>
                <w:bCs/>
                <w:sz w:val="22"/>
                <w:szCs w:val="22"/>
              </w:rPr>
              <w:t>eine Aktualisierung des Anstellungsvertrages durch Ergänzung des Anstellungsvertrages zur Änderung vor?</w:t>
            </w:r>
          </w:p>
          <w:p w14:paraId="372B93F5" w14:textId="77777777" w:rsidR="00B85B97" w:rsidRDefault="00B85B97" w:rsidP="007D630B">
            <w:pPr>
              <w:jc w:val="both"/>
              <w:rPr>
                <w:rFonts w:cs="Arial"/>
                <w:b/>
                <w:bCs/>
                <w:sz w:val="22"/>
                <w:szCs w:val="22"/>
              </w:rPr>
            </w:pPr>
          </w:p>
          <w:p w14:paraId="07D8939A" w14:textId="77777777" w:rsidR="00FE42DE" w:rsidRDefault="00B85B97" w:rsidP="00421D55">
            <w:pPr>
              <w:jc w:val="both"/>
              <w:rPr>
                <w:rFonts w:cs="Arial"/>
                <w:b/>
                <w:bCs/>
                <w:sz w:val="22"/>
                <w:szCs w:val="22"/>
              </w:rPr>
            </w:pPr>
            <w:r w:rsidRPr="00B85B97">
              <w:rPr>
                <w:rFonts w:cs="Arial"/>
                <w:b/>
                <w:bCs/>
                <w:sz w:val="22"/>
                <w:szCs w:val="22"/>
              </w:rPr>
              <w:t>Sind die Eintragungen im Genossenschaftsregister aktuell?</w:t>
            </w:r>
          </w:p>
          <w:p w14:paraId="54438921" w14:textId="299BAF01" w:rsidR="00421D55" w:rsidRPr="00421D55" w:rsidRDefault="00421D55" w:rsidP="00421D55">
            <w:pPr>
              <w:jc w:val="both"/>
              <w:rPr>
                <w:rFonts w:cs="Arial"/>
                <w:b/>
                <w:bCs/>
                <w:sz w:val="22"/>
                <w:szCs w:val="22"/>
              </w:rPr>
            </w:pPr>
          </w:p>
        </w:tc>
        <w:tc>
          <w:tcPr>
            <w:tcW w:w="850" w:type="dxa"/>
          </w:tcPr>
          <w:p w14:paraId="3DF0A967" w14:textId="5D5E7B9C" w:rsidR="00B85B97" w:rsidRDefault="00B85B97" w:rsidP="00502F79">
            <w:pPr>
              <w:spacing w:before="240" w:line="276" w:lineRule="auto"/>
              <w:jc w:val="center"/>
            </w:pPr>
          </w:p>
        </w:tc>
        <w:tc>
          <w:tcPr>
            <w:tcW w:w="851" w:type="dxa"/>
          </w:tcPr>
          <w:p w14:paraId="549FBC45" w14:textId="0CB907A3" w:rsidR="00B85B97" w:rsidRDefault="00B85B97" w:rsidP="00502F79">
            <w:pPr>
              <w:spacing w:before="240" w:line="276" w:lineRule="auto"/>
              <w:jc w:val="center"/>
            </w:pPr>
          </w:p>
        </w:tc>
        <w:tc>
          <w:tcPr>
            <w:tcW w:w="4110" w:type="dxa"/>
          </w:tcPr>
          <w:p w14:paraId="0F067378" w14:textId="3166A446" w:rsidR="00B85B97" w:rsidRDefault="00B85B97" w:rsidP="00502F79">
            <w:pPr>
              <w:spacing w:before="240" w:line="276" w:lineRule="auto"/>
            </w:pPr>
          </w:p>
        </w:tc>
      </w:tr>
      <w:tr w:rsidR="00FE42DE" w14:paraId="471F0393" w14:textId="77777777" w:rsidTr="004B5E80">
        <w:trPr>
          <w:trHeight w:val="978"/>
        </w:trPr>
        <w:tc>
          <w:tcPr>
            <w:tcW w:w="4537" w:type="dxa"/>
          </w:tcPr>
          <w:p w14:paraId="439A7A8D" w14:textId="77777777" w:rsidR="00FE42DE" w:rsidRPr="00FE42DE" w:rsidRDefault="00FE42DE" w:rsidP="00FE42DE">
            <w:pPr>
              <w:widowControl w:val="0"/>
              <w:tabs>
                <w:tab w:val="left" w:pos="567"/>
              </w:tabs>
              <w:spacing w:before="120"/>
              <w:rPr>
                <w:rFonts w:cs="Arial"/>
                <w:b/>
                <w:bCs/>
                <w:color w:val="0A2F41" w:themeColor="accent1" w:themeShade="80"/>
                <w:sz w:val="28"/>
                <w:szCs w:val="28"/>
              </w:rPr>
            </w:pPr>
            <w:r w:rsidRPr="00FE42DE">
              <w:rPr>
                <w:rFonts w:cs="Arial"/>
                <w:b/>
                <w:bCs/>
                <w:color w:val="0A2F41" w:themeColor="accent1" w:themeShade="80"/>
                <w:sz w:val="28"/>
                <w:szCs w:val="28"/>
              </w:rPr>
              <w:t>Vorstand (ehrenamtlich)</w:t>
            </w:r>
          </w:p>
          <w:p w14:paraId="185C5D79" w14:textId="77777777" w:rsidR="00FE42DE" w:rsidRPr="00FE42DE" w:rsidRDefault="00FE42DE" w:rsidP="00A437E0">
            <w:pPr>
              <w:widowControl w:val="0"/>
              <w:tabs>
                <w:tab w:val="left" w:pos="567"/>
              </w:tabs>
              <w:spacing w:before="120"/>
              <w:jc w:val="both"/>
              <w:rPr>
                <w:rFonts w:cs="Arial"/>
                <w:sz w:val="18"/>
                <w:szCs w:val="18"/>
              </w:rPr>
            </w:pPr>
            <w:r w:rsidRPr="00FE42DE">
              <w:rPr>
                <w:rFonts w:cs="Arial"/>
                <w:sz w:val="18"/>
                <w:szCs w:val="18"/>
              </w:rPr>
              <w:t xml:space="preserve">Es liegt lediglich ein Auftrags- und kein Anstellungsverhältnis vor; die </w:t>
            </w:r>
            <w:r w:rsidRPr="00FE42DE">
              <w:rPr>
                <w:rFonts w:cs="Arial"/>
                <w:b/>
                <w:bCs/>
                <w:sz w:val="18"/>
                <w:szCs w:val="18"/>
              </w:rPr>
              <w:t>Tätigkeit/der Zeiteinsatz erfolgen unentgeltlich. Es darf also keine Vergütung, sondern allenfalls eine Aufwandsentschädigung gewährt werden</w:t>
            </w:r>
            <w:r w:rsidRPr="00FE42DE">
              <w:rPr>
                <w:rFonts w:cs="Arial"/>
                <w:sz w:val="18"/>
                <w:szCs w:val="18"/>
              </w:rPr>
              <w:t xml:space="preserve">. Eine Aufwandsentschädigung ist auch in pauschalierter Form möglich. </w:t>
            </w:r>
          </w:p>
          <w:p w14:paraId="2A7AB42A" w14:textId="374A4C3C" w:rsidR="00FE42DE" w:rsidRPr="00FE42DE" w:rsidRDefault="00FE42DE" w:rsidP="007D630B">
            <w:pPr>
              <w:widowControl w:val="0"/>
              <w:tabs>
                <w:tab w:val="left" w:pos="567"/>
              </w:tabs>
              <w:spacing w:before="120"/>
              <w:jc w:val="both"/>
              <w:rPr>
                <w:rFonts w:cs="Arial"/>
                <w:sz w:val="18"/>
                <w:szCs w:val="18"/>
              </w:rPr>
            </w:pPr>
            <w:r w:rsidRPr="00FE42DE">
              <w:rPr>
                <w:rFonts w:cs="Arial"/>
                <w:sz w:val="18"/>
                <w:szCs w:val="18"/>
              </w:rPr>
              <w:t>Bzgl. der möglichen Höhe einer Aufwandspauschale ist das GdW/AGV-Rundschreiben vom 29. Mai 2024 zu beachten!</w:t>
            </w:r>
          </w:p>
          <w:p w14:paraId="405E747E" w14:textId="77777777" w:rsidR="00FE42DE" w:rsidRPr="00FE42DE" w:rsidRDefault="00FE42DE" w:rsidP="00A437E0">
            <w:pPr>
              <w:widowControl w:val="0"/>
              <w:tabs>
                <w:tab w:val="left" w:pos="567"/>
              </w:tabs>
              <w:spacing w:before="120" w:after="120"/>
              <w:jc w:val="both"/>
              <w:rPr>
                <w:rFonts w:cs="Arial"/>
                <w:sz w:val="18"/>
                <w:szCs w:val="18"/>
              </w:rPr>
            </w:pPr>
            <w:r w:rsidRPr="00FE42DE">
              <w:rPr>
                <w:rFonts w:cs="Arial"/>
                <w:sz w:val="18"/>
                <w:szCs w:val="18"/>
              </w:rPr>
              <w:t xml:space="preserve">Sofern eine Aufwandsentschädigung geltend gemacht wird: </w:t>
            </w:r>
          </w:p>
          <w:p w14:paraId="7C48E691" w14:textId="1F8407A4" w:rsidR="00FE42DE" w:rsidRPr="00FE42DE" w:rsidRDefault="00FE42DE" w:rsidP="00A437E0">
            <w:pPr>
              <w:widowControl w:val="0"/>
              <w:jc w:val="both"/>
              <w:rPr>
                <w:rFonts w:cs="Arial"/>
                <w:b/>
                <w:bCs/>
                <w:sz w:val="22"/>
                <w:szCs w:val="22"/>
              </w:rPr>
            </w:pPr>
            <w:r w:rsidRPr="00FE42DE">
              <w:rPr>
                <w:rFonts w:cs="Arial"/>
                <w:b/>
                <w:bCs/>
                <w:sz w:val="22"/>
                <w:szCs w:val="22"/>
              </w:rPr>
              <w:t xml:space="preserve">Ist die Aufwandsentschädigung tatsächlich nur Ersatz für entstandene Aufwendungen oder liegt eine verdeckte (sozialversicherungspflichtige) Vergütung vor? </w:t>
            </w:r>
          </w:p>
          <w:p w14:paraId="36DE4043" w14:textId="77777777" w:rsidR="00FE42DE" w:rsidRDefault="00FE42DE" w:rsidP="00A437E0">
            <w:pPr>
              <w:widowControl w:val="0"/>
              <w:tabs>
                <w:tab w:val="left" w:pos="567"/>
              </w:tabs>
              <w:spacing w:before="120"/>
              <w:jc w:val="both"/>
              <w:rPr>
                <w:rFonts w:cs="Arial"/>
                <w:sz w:val="18"/>
                <w:szCs w:val="18"/>
              </w:rPr>
            </w:pPr>
            <w:r w:rsidRPr="00FE42DE">
              <w:rPr>
                <w:rFonts w:cs="Arial"/>
                <w:sz w:val="18"/>
                <w:szCs w:val="18"/>
              </w:rPr>
              <w:t xml:space="preserve">Maßgebliches Kriterium nach dem Urteil des Bundessozialgerichts (BSG) vom 12/2023 (AZ: B 12 R 11/21) ist, dass die Vorstandstätigkeit im Wesentlichen unentgeltlich und </w:t>
            </w:r>
            <w:r w:rsidRPr="00FE42DE">
              <w:rPr>
                <w:rFonts w:cs="Arial"/>
                <w:sz w:val="18"/>
                <w:szCs w:val="18"/>
                <w:u w:val="single"/>
              </w:rPr>
              <w:t xml:space="preserve">ohne Erwerbsabsicht </w:t>
            </w:r>
            <w:r w:rsidRPr="00FE42DE">
              <w:rPr>
                <w:rFonts w:cs="Arial"/>
                <w:sz w:val="18"/>
                <w:szCs w:val="18"/>
              </w:rPr>
              <w:t xml:space="preserve">ausgeübt wird. Sofern sich die Höhe der Aufwandsentschädigung </w:t>
            </w:r>
            <w:r w:rsidRPr="00FE42DE">
              <w:rPr>
                <w:rFonts w:cs="Arial"/>
                <w:i/>
                <w:iCs/>
                <w:sz w:val="18"/>
                <w:szCs w:val="18"/>
              </w:rPr>
              <w:t>innerhalb</w:t>
            </w:r>
            <w:r w:rsidRPr="00FE42DE">
              <w:rPr>
                <w:rFonts w:cs="Arial"/>
                <w:sz w:val="18"/>
                <w:szCs w:val="18"/>
              </w:rPr>
              <w:t xml:space="preserve"> einer normativen Ehrenamtspauschale (z.Z. € 840/ Jahr) bewegt, geht das BSG davon aus, dass die Unentgeltlichkeit der Tätigkeit aufgrund ihres Umfangs im Regelfall gegeben ist</w:t>
            </w:r>
            <w:r w:rsidRPr="00FE42DE">
              <w:rPr>
                <w:rFonts w:cs="Arial"/>
                <w:sz w:val="18"/>
                <w:szCs w:val="18"/>
                <w:u w:val="single"/>
              </w:rPr>
              <w:t>. Auf eine konkrete Ehrenamtspauschale (z. B. § 31a BGB oder § 3 Nr. 26a EStG) hat sich das BSG jedoch nicht festgelegt.</w:t>
            </w:r>
            <w:r w:rsidRPr="00FE42DE">
              <w:rPr>
                <w:rFonts w:cs="Arial"/>
                <w:sz w:val="18"/>
                <w:szCs w:val="18"/>
              </w:rPr>
              <w:t xml:space="preserve"> Es bleibt eine Einzelfallentscheidung. Auf der sicheren Seite ist man, wenn nur der tatsächliche Aufwand gegen Beleg erstattet wird oder eine Pauschale sich ausschließlich am möglichen Aufwand, maximal an € 840/Jahr (aktuelle Ehrenamtspauschale), orientiert.</w:t>
            </w:r>
          </w:p>
          <w:p w14:paraId="483EA7D3" w14:textId="77777777" w:rsidR="00A437E0" w:rsidRDefault="00A437E0" w:rsidP="00A437E0">
            <w:pPr>
              <w:widowControl w:val="0"/>
              <w:tabs>
                <w:tab w:val="left" w:pos="567"/>
              </w:tabs>
              <w:spacing w:before="120"/>
              <w:jc w:val="both"/>
              <w:rPr>
                <w:rFonts w:cs="Arial"/>
                <w:b/>
                <w:bCs/>
                <w:color w:val="0A2F41" w:themeColor="accent1" w:themeShade="80"/>
                <w:sz w:val="18"/>
                <w:szCs w:val="18"/>
              </w:rPr>
            </w:pPr>
          </w:p>
          <w:p w14:paraId="290639C4" w14:textId="77777777" w:rsidR="0026151D" w:rsidRDefault="0026151D" w:rsidP="00A437E0">
            <w:pPr>
              <w:widowControl w:val="0"/>
              <w:tabs>
                <w:tab w:val="left" w:pos="567"/>
              </w:tabs>
              <w:spacing w:before="120"/>
              <w:jc w:val="both"/>
              <w:rPr>
                <w:rFonts w:cs="Arial"/>
                <w:b/>
                <w:bCs/>
                <w:color w:val="0A2F41" w:themeColor="accent1" w:themeShade="80"/>
                <w:sz w:val="18"/>
                <w:szCs w:val="18"/>
              </w:rPr>
            </w:pPr>
          </w:p>
          <w:p w14:paraId="0DD3C739" w14:textId="77777777" w:rsidR="0026151D" w:rsidRDefault="0026151D" w:rsidP="00A437E0">
            <w:pPr>
              <w:widowControl w:val="0"/>
              <w:tabs>
                <w:tab w:val="left" w:pos="567"/>
              </w:tabs>
              <w:spacing w:before="120"/>
              <w:jc w:val="both"/>
              <w:rPr>
                <w:rFonts w:cs="Arial"/>
                <w:b/>
                <w:bCs/>
                <w:color w:val="0A2F41" w:themeColor="accent1" w:themeShade="80"/>
                <w:sz w:val="18"/>
                <w:szCs w:val="18"/>
              </w:rPr>
            </w:pPr>
          </w:p>
          <w:p w14:paraId="4600EF74" w14:textId="77777777" w:rsidR="0026151D" w:rsidRDefault="0026151D" w:rsidP="00A437E0">
            <w:pPr>
              <w:widowControl w:val="0"/>
              <w:tabs>
                <w:tab w:val="left" w:pos="567"/>
              </w:tabs>
              <w:spacing w:before="120"/>
              <w:jc w:val="both"/>
              <w:rPr>
                <w:rFonts w:cs="Arial"/>
                <w:b/>
                <w:bCs/>
                <w:color w:val="0A2F41" w:themeColor="accent1" w:themeShade="80"/>
                <w:sz w:val="18"/>
                <w:szCs w:val="18"/>
              </w:rPr>
            </w:pPr>
          </w:p>
          <w:p w14:paraId="6C466C06" w14:textId="77777777" w:rsidR="0026151D" w:rsidRDefault="0026151D" w:rsidP="00A437E0">
            <w:pPr>
              <w:widowControl w:val="0"/>
              <w:tabs>
                <w:tab w:val="left" w:pos="567"/>
              </w:tabs>
              <w:spacing w:before="120"/>
              <w:jc w:val="both"/>
              <w:rPr>
                <w:rFonts w:cs="Arial"/>
                <w:b/>
                <w:bCs/>
                <w:color w:val="0A2F41" w:themeColor="accent1" w:themeShade="80"/>
                <w:sz w:val="18"/>
                <w:szCs w:val="18"/>
              </w:rPr>
            </w:pPr>
          </w:p>
          <w:p w14:paraId="5440ABBF" w14:textId="77777777" w:rsidR="00C23305" w:rsidRDefault="00C23305" w:rsidP="00A437E0">
            <w:pPr>
              <w:widowControl w:val="0"/>
              <w:tabs>
                <w:tab w:val="left" w:pos="567"/>
              </w:tabs>
              <w:spacing w:before="120"/>
              <w:jc w:val="both"/>
              <w:rPr>
                <w:rFonts w:cs="Arial"/>
                <w:b/>
                <w:bCs/>
                <w:color w:val="0A2F41" w:themeColor="accent1" w:themeShade="80"/>
                <w:sz w:val="18"/>
                <w:szCs w:val="18"/>
              </w:rPr>
            </w:pPr>
          </w:p>
          <w:p w14:paraId="1E9FB286" w14:textId="77777777" w:rsidR="00C23305" w:rsidRDefault="00C23305" w:rsidP="00A437E0">
            <w:pPr>
              <w:widowControl w:val="0"/>
              <w:tabs>
                <w:tab w:val="left" w:pos="567"/>
              </w:tabs>
              <w:spacing w:before="120"/>
              <w:jc w:val="both"/>
              <w:rPr>
                <w:rFonts w:cs="Arial"/>
                <w:b/>
                <w:bCs/>
                <w:color w:val="0A2F41" w:themeColor="accent1" w:themeShade="80"/>
                <w:sz w:val="18"/>
                <w:szCs w:val="18"/>
              </w:rPr>
            </w:pPr>
          </w:p>
          <w:p w14:paraId="10A9C583" w14:textId="77777777" w:rsidR="0026151D" w:rsidRDefault="0026151D" w:rsidP="00A437E0">
            <w:pPr>
              <w:widowControl w:val="0"/>
              <w:tabs>
                <w:tab w:val="left" w:pos="567"/>
              </w:tabs>
              <w:spacing w:before="120"/>
              <w:jc w:val="both"/>
              <w:rPr>
                <w:rFonts w:cs="Arial"/>
                <w:b/>
                <w:bCs/>
                <w:color w:val="0A2F41" w:themeColor="accent1" w:themeShade="80"/>
                <w:sz w:val="18"/>
                <w:szCs w:val="18"/>
              </w:rPr>
            </w:pPr>
          </w:p>
          <w:p w14:paraId="093348A5" w14:textId="13C24955" w:rsidR="0026151D" w:rsidRPr="00FE42DE" w:rsidRDefault="0026151D" w:rsidP="00A437E0">
            <w:pPr>
              <w:widowControl w:val="0"/>
              <w:tabs>
                <w:tab w:val="left" w:pos="567"/>
              </w:tabs>
              <w:spacing w:before="120"/>
              <w:jc w:val="both"/>
              <w:rPr>
                <w:rFonts w:cs="Arial"/>
                <w:b/>
                <w:bCs/>
                <w:color w:val="0A2F41" w:themeColor="accent1" w:themeShade="80"/>
                <w:sz w:val="18"/>
                <w:szCs w:val="18"/>
              </w:rPr>
            </w:pPr>
          </w:p>
        </w:tc>
        <w:tc>
          <w:tcPr>
            <w:tcW w:w="850" w:type="dxa"/>
          </w:tcPr>
          <w:p w14:paraId="0F769D23" w14:textId="77777777" w:rsidR="00FE42DE" w:rsidRDefault="00FE42DE" w:rsidP="00FE42DE">
            <w:pPr>
              <w:spacing w:before="240" w:line="276" w:lineRule="auto"/>
              <w:jc w:val="center"/>
            </w:pPr>
          </w:p>
        </w:tc>
        <w:tc>
          <w:tcPr>
            <w:tcW w:w="851" w:type="dxa"/>
          </w:tcPr>
          <w:p w14:paraId="54770E39" w14:textId="77777777" w:rsidR="00FE42DE" w:rsidRDefault="00FE42DE" w:rsidP="00FE42DE">
            <w:pPr>
              <w:spacing w:before="240" w:line="276" w:lineRule="auto"/>
              <w:jc w:val="center"/>
            </w:pPr>
          </w:p>
        </w:tc>
        <w:tc>
          <w:tcPr>
            <w:tcW w:w="4110" w:type="dxa"/>
          </w:tcPr>
          <w:p w14:paraId="7669779F" w14:textId="77777777" w:rsidR="00FE42DE" w:rsidRDefault="00FE42DE" w:rsidP="00FE42DE">
            <w:pPr>
              <w:spacing w:before="240" w:line="276" w:lineRule="auto"/>
            </w:pPr>
          </w:p>
        </w:tc>
      </w:tr>
      <w:tr w:rsidR="00FE42DE" w14:paraId="21FFD532" w14:textId="77777777" w:rsidTr="004B5E80">
        <w:tc>
          <w:tcPr>
            <w:tcW w:w="4537" w:type="dxa"/>
          </w:tcPr>
          <w:p w14:paraId="431E13D2" w14:textId="77777777" w:rsidR="00FE42DE" w:rsidRPr="00FE42DE" w:rsidRDefault="00FE42DE" w:rsidP="00FE42DE">
            <w:pPr>
              <w:widowControl w:val="0"/>
              <w:tabs>
                <w:tab w:val="left" w:pos="567"/>
              </w:tabs>
              <w:spacing w:before="120"/>
              <w:rPr>
                <w:rFonts w:cs="Arial"/>
                <w:b/>
                <w:bCs/>
                <w:color w:val="0A2F41" w:themeColor="accent1" w:themeShade="80"/>
                <w:sz w:val="28"/>
                <w:szCs w:val="28"/>
              </w:rPr>
            </w:pPr>
            <w:r w:rsidRPr="00FE42DE">
              <w:rPr>
                <w:rFonts w:cs="Arial"/>
                <w:b/>
                <w:bCs/>
                <w:color w:val="0A2F41" w:themeColor="accent1" w:themeShade="80"/>
                <w:sz w:val="28"/>
                <w:szCs w:val="28"/>
              </w:rPr>
              <w:lastRenderedPageBreak/>
              <w:t>Generalversammlung</w:t>
            </w:r>
            <w:r w:rsidRPr="00FE42DE">
              <w:rPr>
                <w:rFonts w:cs="Arial"/>
                <w:b/>
                <w:bCs/>
                <w:color w:val="0A2F41" w:themeColor="accent1" w:themeShade="80"/>
                <w:sz w:val="28"/>
                <w:szCs w:val="28"/>
              </w:rPr>
              <w:br/>
              <w:t>Aufsichtsratswahl</w:t>
            </w:r>
          </w:p>
          <w:p w14:paraId="73EB341B" w14:textId="4D4C6CED" w:rsidR="00FE42DE" w:rsidRPr="00E643AA" w:rsidRDefault="00FE42DE" w:rsidP="007D630B">
            <w:pPr>
              <w:widowControl w:val="0"/>
              <w:tabs>
                <w:tab w:val="left" w:pos="567"/>
              </w:tabs>
              <w:spacing w:before="120"/>
              <w:jc w:val="both"/>
              <w:rPr>
                <w:rFonts w:cs="Arial"/>
                <w:sz w:val="18"/>
                <w:szCs w:val="18"/>
              </w:rPr>
            </w:pPr>
            <w:r w:rsidRPr="00E643AA">
              <w:rPr>
                <w:rFonts w:cs="Arial"/>
                <w:sz w:val="18"/>
                <w:szCs w:val="18"/>
              </w:rPr>
              <w:t>Grundregelung</w:t>
            </w:r>
            <w:r>
              <w:rPr>
                <w:rFonts w:cs="Arial"/>
                <w:sz w:val="18"/>
                <w:szCs w:val="18"/>
              </w:rPr>
              <w:t xml:space="preserve"> zur </w:t>
            </w:r>
            <w:r w:rsidRPr="00E643AA">
              <w:rPr>
                <w:rFonts w:cs="Arial"/>
                <w:sz w:val="18"/>
                <w:szCs w:val="18"/>
              </w:rPr>
              <w:t>Anzahl der Aufsichtsratsmitglieder</w:t>
            </w:r>
            <w:r>
              <w:rPr>
                <w:rFonts w:cs="Arial"/>
                <w:sz w:val="18"/>
                <w:szCs w:val="18"/>
              </w:rPr>
              <w:t xml:space="preserve"> gemäß </w:t>
            </w:r>
            <w:r w:rsidRPr="00E643AA">
              <w:rPr>
                <w:rFonts w:cs="Arial"/>
                <w:sz w:val="18"/>
                <w:szCs w:val="18"/>
              </w:rPr>
              <w:t>§ 24 der M</w:t>
            </w:r>
            <w:r>
              <w:rPr>
                <w:rFonts w:cs="Arial"/>
                <w:sz w:val="18"/>
                <w:szCs w:val="18"/>
              </w:rPr>
              <w:t>ustersatzung</w:t>
            </w:r>
            <w:r w:rsidRPr="00E643AA">
              <w:rPr>
                <w:rFonts w:cs="Arial"/>
                <w:sz w:val="18"/>
                <w:szCs w:val="18"/>
              </w:rPr>
              <w:t xml:space="preserve"> G</w:t>
            </w:r>
            <w:r>
              <w:rPr>
                <w:rFonts w:cs="Arial"/>
                <w:sz w:val="18"/>
                <w:szCs w:val="18"/>
              </w:rPr>
              <w:t>d</w:t>
            </w:r>
            <w:r w:rsidRPr="00E643AA">
              <w:rPr>
                <w:rFonts w:cs="Arial"/>
                <w:sz w:val="18"/>
                <w:szCs w:val="18"/>
              </w:rPr>
              <w:t>W</w:t>
            </w:r>
            <w:r>
              <w:rPr>
                <w:rFonts w:cs="Arial"/>
                <w:sz w:val="18"/>
                <w:szCs w:val="18"/>
              </w:rPr>
              <w:t xml:space="preserve">: </w:t>
            </w:r>
            <w:r w:rsidRPr="00E643AA">
              <w:rPr>
                <w:rFonts w:cs="Arial"/>
                <w:sz w:val="18"/>
                <w:szCs w:val="18"/>
              </w:rPr>
              <w:t>„Der Aufsichtsrat besteht aus mindestens drei Mitgliedern. Die Mitgliederversammlung kann eine höhere Zahl durch Beschluss festsetzen.“</w:t>
            </w:r>
          </w:p>
          <w:p w14:paraId="213AE154" w14:textId="07FBA375" w:rsidR="00FE42DE" w:rsidRPr="00E643AA" w:rsidRDefault="00FE42DE" w:rsidP="007D630B">
            <w:pPr>
              <w:widowControl w:val="0"/>
              <w:tabs>
                <w:tab w:val="left" w:pos="567"/>
              </w:tabs>
              <w:spacing w:before="120"/>
              <w:rPr>
                <w:rFonts w:cs="Arial"/>
                <w:sz w:val="18"/>
                <w:szCs w:val="18"/>
              </w:rPr>
            </w:pPr>
            <w:r w:rsidRPr="00E643AA">
              <w:rPr>
                <w:rFonts w:cs="Arial"/>
                <w:sz w:val="18"/>
                <w:szCs w:val="18"/>
              </w:rPr>
              <w:t>Mögliche abweichende Formulierung in der Satzung:</w:t>
            </w:r>
            <w:r>
              <w:rPr>
                <w:rFonts w:cs="Arial"/>
                <w:sz w:val="18"/>
                <w:szCs w:val="18"/>
              </w:rPr>
              <w:t xml:space="preserve"> </w:t>
            </w:r>
            <w:r w:rsidRPr="00E643AA">
              <w:rPr>
                <w:rFonts w:cs="Arial"/>
                <w:sz w:val="18"/>
                <w:szCs w:val="18"/>
              </w:rPr>
              <w:t>„Der Aufsichtsrat besteht aus 3 bis 7 Mitgliedern.“</w:t>
            </w:r>
          </w:p>
          <w:p w14:paraId="6AE30E2F" w14:textId="77777777" w:rsidR="00FE42DE" w:rsidRPr="00FE42DE" w:rsidRDefault="00FE42DE" w:rsidP="007D630B">
            <w:pPr>
              <w:widowControl w:val="0"/>
              <w:tabs>
                <w:tab w:val="left" w:pos="567"/>
              </w:tabs>
              <w:spacing w:before="120"/>
              <w:rPr>
                <w:rFonts w:cs="Arial"/>
                <w:b/>
                <w:bCs/>
                <w:sz w:val="22"/>
                <w:szCs w:val="22"/>
              </w:rPr>
            </w:pPr>
            <w:r w:rsidRPr="00FE42DE">
              <w:rPr>
                <w:rFonts w:cs="Arial"/>
                <w:b/>
                <w:bCs/>
                <w:sz w:val="22"/>
                <w:szCs w:val="22"/>
              </w:rPr>
              <w:t>Liegt ein Beschluss der Generalversammlung über die konkrete Anzahl der Aufsichtsratsmitglieder vor?</w:t>
            </w:r>
          </w:p>
          <w:p w14:paraId="1A05226E" w14:textId="77777777" w:rsidR="007D630B" w:rsidRDefault="007D630B" w:rsidP="004721F5">
            <w:pPr>
              <w:jc w:val="both"/>
              <w:rPr>
                <w:rFonts w:cs="Arial"/>
                <w:sz w:val="18"/>
                <w:szCs w:val="18"/>
              </w:rPr>
            </w:pPr>
          </w:p>
          <w:p w14:paraId="7E850656" w14:textId="5BBA6D6F" w:rsidR="00FE42DE" w:rsidRDefault="00FE42DE" w:rsidP="004721F5">
            <w:pPr>
              <w:jc w:val="both"/>
              <w:rPr>
                <w:rFonts w:cs="Arial"/>
                <w:sz w:val="18"/>
                <w:szCs w:val="18"/>
              </w:rPr>
            </w:pPr>
            <w:r w:rsidRPr="00E643AA">
              <w:rPr>
                <w:rFonts w:cs="Arial"/>
                <w:sz w:val="18"/>
                <w:szCs w:val="18"/>
              </w:rPr>
              <w:t>Es muss vor der Aufsichtsratswahl eindeutig festgelegt sein, aus wie vielen Mitgliedern der Aufsichtsrat nach der Wahl bestehen soll.</w:t>
            </w:r>
          </w:p>
          <w:p w14:paraId="64C57371" w14:textId="23A40388" w:rsidR="0026151D" w:rsidRDefault="0026151D" w:rsidP="004721F5">
            <w:pPr>
              <w:jc w:val="both"/>
            </w:pPr>
          </w:p>
        </w:tc>
        <w:tc>
          <w:tcPr>
            <w:tcW w:w="850" w:type="dxa"/>
          </w:tcPr>
          <w:p w14:paraId="05EA93A4" w14:textId="77777777" w:rsidR="00FE42DE" w:rsidRDefault="00FE42DE" w:rsidP="00FE42DE"/>
        </w:tc>
        <w:tc>
          <w:tcPr>
            <w:tcW w:w="851" w:type="dxa"/>
          </w:tcPr>
          <w:p w14:paraId="132EA909" w14:textId="77777777" w:rsidR="00FE42DE" w:rsidRDefault="00FE42DE" w:rsidP="00FE42DE"/>
        </w:tc>
        <w:tc>
          <w:tcPr>
            <w:tcW w:w="4110" w:type="dxa"/>
          </w:tcPr>
          <w:p w14:paraId="0017896D" w14:textId="77777777" w:rsidR="00FE42DE" w:rsidRDefault="00FE42DE" w:rsidP="00FE42DE"/>
        </w:tc>
      </w:tr>
      <w:tr w:rsidR="00FE42DE" w14:paraId="016E7B78" w14:textId="77777777" w:rsidTr="004B5E80">
        <w:tc>
          <w:tcPr>
            <w:tcW w:w="4537" w:type="dxa"/>
          </w:tcPr>
          <w:p w14:paraId="4F25C8E4" w14:textId="5077D7C5" w:rsidR="00FE42DE" w:rsidRPr="00FE42DE" w:rsidRDefault="00FE42DE" w:rsidP="00FE42DE">
            <w:pPr>
              <w:widowControl w:val="0"/>
              <w:tabs>
                <w:tab w:val="left" w:pos="567"/>
              </w:tabs>
              <w:spacing w:before="120"/>
              <w:rPr>
                <w:rFonts w:cs="Arial"/>
                <w:b/>
                <w:bCs/>
                <w:color w:val="0A2F41" w:themeColor="accent1" w:themeShade="80"/>
                <w:sz w:val="28"/>
                <w:szCs w:val="28"/>
              </w:rPr>
            </w:pPr>
            <w:r w:rsidRPr="00FE42DE">
              <w:rPr>
                <w:rFonts w:cs="Arial"/>
                <w:b/>
                <w:bCs/>
                <w:color w:val="0A2F41" w:themeColor="accent1" w:themeShade="80"/>
                <w:sz w:val="28"/>
                <w:szCs w:val="28"/>
              </w:rPr>
              <w:t>Generalversammlung</w:t>
            </w:r>
            <w:r w:rsidRPr="00FE42DE">
              <w:rPr>
                <w:rFonts w:cs="Arial"/>
                <w:b/>
                <w:bCs/>
                <w:color w:val="0A2F41" w:themeColor="accent1" w:themeShade="80"/>
                <w:sz w:val="28"/>
                <w:szCs w:val="28"/>
              </w:rPr>
              <w:br/>
              <w:t>Einladung sowie</w:t>
            </w:r>
            <w:r>
              <w:rPr>
                <w:rFonts w:cs="Arial"/>
                <w:b/>
                <w:bCs/>
                <w:color w:val="0A2F41" w:themeColor="accent1" w:themeShade="80"/>
                <w:sz w:val="28"/>
                <w:szCs w:val="28"/>
              </w:rPr>
              <w:t xml:space="preserve"> </w:t>
            </w:r>
            <w:r w:rsidRPr="00FE42DE">
              <w:rPr>
                <w:rFonts w:cs="Arial"/>
                <w:b/>
                <w:bCs/>
                <w:color w:val="0A2F41" w:themeColor="accent1" w:themeShade="80"/>
                <w:sz w:val="28"/>
                <w:szCs w:val="28"/>
              </w:rPr>
              <w:t>Tagesordnung</w:t>
            </w:r>
          </w:p>
          <w:p w14:paraId="7798ACF7" w14:textId="77777777" w:rsidR="00FE42DE" w:rsidRPr="00FE42DE" w:rsidRDefault="00FE42DE" w:rsidP="00734ADB">
            <w:pPr>
              <w:widowControl w:val="0"/>
              <w:tabs>
                <w:tab w:val="left" w:pos="567"/>
              </w:tabs>
              <w:spacing w:before="120"/>
              <w:rPr>
                <w:rFonts w:cs="Arial"/>
                <w:b/>
                <w:bCs/>
                <w:sz w:val="22"/>
                <w:szCs w:val="22"/>
              </w:rPr>
            </w:pPr>
            <w:r w:rsidRPr="00FE42DE">
              <w:rPr>
                <w:rFonts w:cs="Arial"/>
                <w:b/>
                <w:bCs/>
                <w:sz w:val="22"/>
                <w:szCs w:val="22"/>
              </w:rPr>
              <w:t>Ist die Einladung zur Generalversammlung ordnungsgemäß erfolgt entsprechend nachfolgender Vorgaben (vgl. § 33 MS MV/VV 9/22):</w:t>
            </w:r>
          </w:p>
          <w:p w14:paraId="37306D47" w14:textId="77777777" w:rsidR="00FE42DE" w:rsidRPr="00C23305" w:rsidRDefault="00FE42DE" w:rsidP="00FE42DE">
            <w:pPr>
              <w:widowControl w:val="0"/>
              <w:tabs>
                <w:tab w:val="left" w:pos="567"/>
              </w:tabs>
              <w:spacing w:before="120"/>
              <w:rPr>
                <w:rFonts w:cs="Arial"/>
                <w:b/>
                <w:bCs/>
                <w:sz w:val="28"/>
                <w:szCs w:val="28"/>
              </w:rPr>
            </w:pPr>
            <w:r w:rsidRPr="00C23305">
              <w:rPr>
                <w:rFonts w:cs="Arial"/>
                <w:b/>
                <w:bCs/>
                <w:color w:val="0A2F41" w:themeColor="accent1" w:themeShade="80"/>
                <w:sz w:val="28"/>
                <w:szCs w:val="28"/>
              </w:rPr>
              <w:t>Einladung</w:t>
            </w:r>
          </w:p>
          <w:p w14:paraId="57DD05D9" w14:textId="69E063A9" w:rsidR="00FE42DE" w:rsidRPr="00FE42DE" w:rsidRDefault="00FE42DE" w:rsidP="0009190B">
            <w:pPr>
              <w:widowControl w:val="0"/>
              <w:tabs>
                <w:tab w:val="left" w:pos="567"/>
              </w:tabs>
              <w:spacing w:before="120"/>
              <w:ind w:left="290" w:hanging="290"/>
              <w:jc w:val="both"/>
              <w:rPr>
                <w:rFonts w:cs="Arial"/>
                <w:b/>
                <w:bCs/>
                <w:sz w:val="22"/>
                <w:szCs w:val="22"/>
              </w:rPr>
            </w:pPr>
            <w:r w:rsidRPr="00FE42DE">
              <w:rPr>
                <w:rFonts w:cs="Arial"/>
                <w:b/>
                <w:bCs/>
                <w:sz w:val="22"/>
                <w:szCs w:val="22"/>
              </w:rPr>
              <w:t>a)</w:t>
            </w:r>
            <w:r w:rsidR="00360148">
              <w:rPr>
                <w:rFonts w:cs="Arial"/>
                <w:b/>
                <w:bCs/>
                <w:sz w:val="22"/>
                <w:szCs w:val="22"/>
              </w:rPr>
              <w:tab/>
            </w:r>
            <w:r w:rsidRPr="00FE42DE">
              <w:rPr>
                <w:rFonts w:cs="Arial"/>
                <w:b/>
                <w:bCs/>
                <w:sz w:val="22"/>
                <w:szCs w:val="22"/>
              </w:rPr>
              <w:t>Ist die Einberufung durch das zuständige Organ/ die zuständige Person erfolgt?</w:t>
            </w:r>
          </w:p>
          <w:p w14:paraId="5536337E" w14:textId="1C1945CF" w:rsidR="00FE42DE" w:rsidRPr="00FE42DE" w:rsidRDefault="00FE42DE" w:rsidP="00734ADB">
            <w:pPr>
              <w:widowControl w:val="0"/>
              <w:tabs>
                <w:tab w:val="left" w:pos="567"/>
              </w:tabs>
              <w:spacing w:before="120"/>
              <w:ind w:left="262" w:hanging="14"/>
              <w:rPr>
                <w:rFonts w:cs="Arial"/>
                <w:sz w:val="18"/>
                <w:szCs w:val="18"/>
              </w:rPr>
            </w:pPr>
            <w:r w:rsidRPr="00FE42DE">
              <w:rPr>
                <w:rFonts w:cs="Arial"/>
                <w:sz w:val="18"/>
                <w:szCs w:val="18"/>
              </w:rPr>
              <w:t xml:space="preserve">I.d.R. ist dies der Aufsichtsratsvorsitzende </w:t>
            </w:r>
            <w:r w:rsidR="00734ADB">
              <w:rPr>
                <w:rFonts w:cs="Arial"/>
                <w:sz w:val="18"/>
                <w:szCs w:val="18"/>
              </w:rPr>
              <w:br/>
            </w:r>
            <w:r w:rsidRPr="00FE42DE">
              <w:rPr>
                <w:rFonts w:cs="Arial"/>
                <w:sz w:val="18"/>
                <w:szCs w:val="18"/>
              </w:rPr>
              <w:t xml:space="preserve">(§ 33 Abs. 1 MS; Ausnahme: Vorstand/ Prüfungsverband). </w:t>
            </w:r>
          </w:p>
          <w:p w14:paraId="1B624490" w14:textId="7DB7D780" w:rsidR="00FE42DE" w:rsidRPr="00FE42DE" w:rsidRDefault="00FE42DE" w:rsidP="0009190B">
            <w:pPr>
              <w:widowControl w:val="0"/>
              <w:tabs>
                <w:tab w:val="left" w:pos="567"/>
              </w:tabs>
              <w:spacing w:before="120"/>
              <w:ind w:left="290" w:hanging="290"/>
              <w:jc w:val="both"/>
              <w:rPr>
                <w:rFonts w:cs="Arial"/>
                <w:b/>
                <w:bCs/>
                <w:sz w:val="22"/>
                <w:szCs w:val="22"/>
              </w:rPr>
            </w:pPr>
            <w:r w:rsidRPr="00FE42DE">
              <w:rPr>
                <w:rFonts w:cs="Arial"/>
                <w:b/>
                <w:bCs/>
                <w:sz w:val="22"/>
                <w:szCs w:val="22"/>
              </w:rPr>
              <w:t>b)</w:t>
            </w:r>
            <w:r w:rsidR="00360148">
              <w:rPr>
                <w:rFonts w:cs="Arial"/>
                <w:b/>
                <w:bCs/>
                <w:sz w:val="22"/>
                <w:szCs w:val="22"/>
              </w:rPr>
              <w:tab/>
            </w:r>
            <w:r w:rsidRPr="00FE42DE">
              <w:rPr>
                <w:rFonts w:cs="Arial"/>
                <w:b/>
                <w:bCs/>
                <w:sz w:val="22"/>
                <w:szCs w:val="22"/>
              </w:rPr>
              <w:t xml:space="preserve">Hat die GV in den ersten sechs Monaten des Geschäftsjahres stattgefunden (§ 32 MS)? </w:t>
            </w:r>
          </w:p>
          <w:p w14:paraId="23ED0F59" w14:textId="77777777" w:rsidR="00FE42DE" w:rsidRPr="00FE42DE" w:rsidRDefault="00FE42DE" w:rsidP="0009190B">
            <w:pPr>
              <w:widowControl w:val="0"/>
              <w:tabs>
                <w:tab w:val="left" w:pos="567"/>
              </w:tabs>
              <w:spacing w:before="120"/>
              <w:ind w:left="262" w:hanging="14"/>
              <w:jc w:val="both"/>
              <w:rPr>
                <w:rFonts w:cs="Arial"/>
                <w:sz w:val="18"/>
                <w:szCs w:val="18"/>
              </w:rPr>
            </w:pPr>
            <w:r w:rsidRPr="00FE42DE">
              <w:rPr>
                <w:rFonts w:cs="Arial"/>
                <w:sz w:val="18"/>
                <w:szCs w:val="18"/>
              </w:rPr>
              <w:t>Bei unverschuldeter Überschreitung ist dies kein Verstoß gegen Ordnungsmäßigkeit der Geschäftsführung. Dokumentation erforderlich zu warum die Frist unverschuldet (kein Tagungsraum; Erstellung JA unverschuldet verzögert; fehlende gesetzl. Prüfung ist kein Grund) überschritten wurde.</w:t>
            </w:r>
          </w:p>
          <w:p w14:paraId="7AFD2512" w14:textId="59CB03A4" w:rsidR="002F1EBE" w:rsidRDefault="00FE42DE" w:rsidP="00CC02F7">
            <w:pPr>
              <w:widowControl w:val="0"/>
              <w:tabs>
                <w:tab w:val="left" w:pos="567"/>
              </w:tabs>
              <w:spacing w:before="120"/>
              <w:ind w:left="290" w:hanging="290"/>
              <w:jc w:val="both"/>
              <w:rPr>
                <w:rFonts w:cs="Arial"/>
                <w:b/>
                <w:bCs/>
                <w:sz w:val="22"/>
                <w:szCs w:val="22"/>
              </w:rPr>
            </w:pPr>
            <w:r w:rsidRPr="00FE42DE">
              <w:rPr>
                <w:rFonts w:cs="Arial"/>
                <w:b/>
                <w:bCs/>
                <w:sz w:val="22"/>
                <w:szCs w:val="22"/>
              </w:rPr>
              <w:t>c)</w:t>
            </w:r>
            <w:r w:rsidR="00360148">
              <w:rPr>
                <w:rFonts w:cs="Arial"/>
                <w:b/>
                <w:bCs/>
                <w:sz w:val="22"/>
                <w:szCs w:val="22"/>
              </w:rPr>
              <w:tab/>
            </w:r>
            <w:r w:rsidRPr="00FE42DE">
              <w:rPr>
                <w:rFonts w:cs="Arial"/>
                <w:b/>
                <w:bCs/>
                <w:sz w:val="22"/>
                <w:szCs w:val="22"/>
              </w:rPr>
              <w:t>Ist die Einladung satzungsgemäß in</w:t>
            </w:r>
            <w:r w:rsidR="002F1EBE">
              <w:rPr>
                <w:rFonts w:cs="Arial"/>
                <w:b/>
                <w:bCs/>
                <w:sz w:val="22"/>
                <w:szCs w:val="22"/>
              </w:rPr>
              <w:t xml:space="preserve"> </w:t>
            </w:r>
            <w:r w:rsidRPr="00FE42DE">
              <w:rPr>
                <w:rFonts w:cs="Arial"/>
                <w:b/>
                <w:bCs/>
                <w:sz w:val="22"/>
                <w:szCs w:val="22"/>
              </w:rPr>
              <w:t>Textform (beinhaltet auch Schriftform) oder durch Bekanntmachung im satzungsgemäß vorgegebenen Blatt erfolgt? Die Veröffentlichung im Internet genügt nicht. Ist die Form der Versammlung (Präsenz) i.S.v. § 32 Abs. 2 MS angegeben worden?</w:t>
            </w:r>
          </w:p>
          <w:p w14:paraId="3C4A55F0" w14:textId="728E54A9" w:rsidR="00FE42DE" w:rsidRPr="00FE42DE" w:rsidRDefault="00FE42DE" w:rsidP="006A5DB0">
            <w:pPr>
              <w:widowControl w:val="0"/>
              <w:tabs>
                <w:tab w:val="left" w:pos="567"/>
              </w:tabs>
              <w:spacing w:before="120"/>
              <w:rPr>
                <w:rFonts w:cs="Arial"/>
                <w:b/>
                <w:bCs/>
                <w:sz w:val="22"/>
                <w:szCs w:val="22"/>
              </w:rPr>
            </w:pPr>
            <w:r w:rsidRPr="00FE42DE">
              <w:rPr>
                <w:rFonts w:cs="Arial"/>
                <w:b/>
                <w:bCs/>
                <w:sz w:val="22"/>
                <w:szCs w:val="22"/>
              </w:rPr>
              <w:lastRenderedPageBreak/>
              <w:t>d)</w:t>
            </w:r>
            <w:r w:rsidR="00A025F6">
              <w:rPr>
                <w:rFonts w:cs="Arial"/>
                <w:b/>
                <w:bCs/>
                <w:sz w:val="22"/>
                <w:szCs w:val="22"/>
              </w:rPr>
              <w:t xml:space="preserve"> I</w:t>
            </w:r>
            <w:r w:rsidRPr="00FE42DE">
              <w:rPr>
                <w:rFonts w:cs="Arial"/>
                <w:b/>
                <w:bCs/>
                <w:sz w:val="22"/>
                <w:szCs w:val="22"/>
              </w:rPr>
              <w:t>st der einzuladende Personenkreis</w:t>
            </w:r>
            <w:r w:rsidR="002F1EBE">
              <w:rPr>
                <w:rFonts w:cs="Arial"/>
                <w:b/>
                <w:bCs/>
                <w:sz w:val="22"/>
                <w:szCs w:val="22"/>
              </w:rPr>
              <w:br/>
            </w:r>
            <w:r w:rsidR="00A025F6">
              <w:rPr>
                <w:rFonts w:cs="Arial"/>
                <w:b/>
                <w:bCs/>
                <w:sz w:val="22"/>
                <w:szCs w:val="22"/>
              </w:rPr>
              <w:t xml:space="preserve">     </w:t>
            </w:r>
            <w:r w:rsidR="002F1EBE">
              <w:rPr>
                <w:rFonts w:cs="Arial"/>
                <w:b/>
                <w:bCs/>
                <w:sz w:val="22"/>
                <w:szCs w:val="22"/>
              </w:rPr>
              <w:t>eingeladen worden?</w:t>
            </w:r>
          </w:p>
          <w:p w14:paraId="0ACFBB79" w14:textId="77777777" w:rsidR="00FE42DE" w:rsidRDefault="00FE42DE" w:rsidP="00FE42DE">
            <w:pPr>
              <w:widowControl w:val="0"/>
              <w:tabs>
                <w:tab w:val="left" w:pos="567"/>
              </w:tabs>
              <w:spacing w:before="120"/>
              <w:ind w:left="262" w:hanging="14"/>
              <w:jc w:val="both"/>
              <w:rPr>
                <w:rFonts w:cs="Arial"/>
                <w:sz w:val="18"/>
                <w:szCs w:val="18"/>
              </w:rPr>
            </w:pPr>
            <w:r w:rsidRPr="00FE42DE">
              <w:rPr>
                <w:rFonts w:cs="Arial"/>
                <w:sz w:val="18"/>
                <w:szCs w:val="18"/>
              </w:rPr>
              <w:t>Einzuladen sind:</w:t>
            </w:r>
          </w:p>
          <w:p w14:paraId="2EAE6042" w14:textId="77777777" w:rsidR="00FE42DE" w:rsidRPr="00FD2413" w:rsidRDefault="00FE42DE" w:rsidP="00CC02F7">
            <w:pPr>
              <w:pStyle w:val="Listenabsatz"/>
              <w:widowControl w:val="0"/>
              <w:numPr>
                <w:ilvl w:val="0"/>
                <w:numId w:val="1"/>
              </w:numPr>
              <w:tabs>
                <w:tab w:val="left" w:pos="567"/>
              </w:tabs>
              <w:spacing w:before="120"/>
              <w:ind w:left="547" w:hanging="346"/>
              <w:jc w:val="both"/>
              <w:rPr>
                <w:rFonts w:cs="Arial"/>
                <w:sz w:val="18"/>
                <w:szCs w:val="18"/>
              </w:rPr>
            </w:pPr>
            <w:r w:rsidRPr="00FD2413">
              <w:rPr>
                <w:rFonts w:cs="Arial"/>
                <w:sz w:val="18"/>
                <w:szCs w:val="18"/>
              </w:rPr>
              <w:t>alle Mitglieder/ alle Vertreter</w:t>
            </w:r>
          </w:p>
          <w:p w14:paraId="72AF8370" w14:textId="77777777" w:rsidR="00FE42DE" w:rsidRPr="00FD2413" w:rsidRDefault="00FE42DE" w:rsidP="00CC02F7">
            <w:pPr>
              <w:pStyle w:val="Listenabsatz"/>
              <w:widowControl w:val="0"/>
              <w:numPr>
                <w:ilvl w:val="0"/>
                <w:numId w:val="1"/>
              </w:numPr>
              <w:tabs>
                <w:tab w:val="left" w:pos="567"/>
              </w:tabs>
              <w:spacing w:before="120"/>
              <w:ind w:left="547" w:hanging="346"/>
              <w:jc w:val="both"/>
              <w:rPr>
                <w:rFonts w:cs="Arial"/>
                <w:sz w:val="18"/>
                <w:szCs w:val="18"/>
              </w:rPr>
            </w:pPr>
            <w:r w:rsidRPr="00FD2413">
              <w:rPr>
                <w:rFonts w:cs="Arial"/>
                <w:sz w:val="18"/>
                <w:szCs w:val="18"/>
              </w:rPr>
              <w:t>Mitglieder, die bereits gekündigt haben, die aber noch nicht ausgeschieden sind</w:t>
            </w:r>
          </w:p>
          <w:p w14:paraId="52525A1F" w14:textId="77777777" w:rsidR="00FE42DE" w:rsidRPr="00FD2413" w:rsidRDefault="00FE42DE" w:rsidP="00CC02F7">
            <w:pPr>
              <w:pStyle w:val="Listenabsatz"/>
              <w:widowControl w:val="0"/>
              <w:numPr>
                <w:ilvl w:val="0"/>
                <w:numId w:val="1"/>
              </w:numPr>
              <w:tabs>
                <w:tab w:val="left" w:pos="567"/>
              </w:tabs>
              <w:spacing w:before="120"/>
              <w:ind w:left="547" w:hanging="346"/>
              <w:jc w:val="both"/>
              <w:rPr>
                <w:rFonts w:cs="Arial"/>
                <w:sz w:val="18"/>
                <w:szCs w:val="18"/>
              </w:rPr>
            </w:pPr>
            <w:r w:rsidRPr="00FD2413">
              <w:rPr>
                <w:rFonts w:cs="Arial"/>
                <w:sz w:val="18"/>
                <w:szCs w:val="18"/>
              </w:rPr>
              <w:t>Mitglieder deren Aufenthaltsort unbekannt ist, an die letztbekannte Adresse</w:t>
            </w:r>
          </w:p>
          <w:p w14:paraId="3C58299C" w14:textId="77777777" w:rsidR="00FE42DE" w:rsidRPr="00FD2413" w:rsidRDefault="00FE42DE" w:rsidP="00CC02F7">
            <w:pPr>
              <w:pStyle w:val="Listenabsatz"/>
              <w:widowControl w:val="0"/>
              <w:numPr>
                <w:ilvl w:val="0"/>
                <w:numId w:val="1"/>
              </w:numPr>
              <w:tabs>
                <w:tab w:val="left" w:pos="567"/>
              </w:tabs>
              <w:spacing w:before="120"/>
              <w:ind w:left="547" w:hanging="346"/>
              <w:jc w:val="both"/>
              <w:rPr>
                <w:rFonts w:cs="Arial"/>
                <w:sz w:val="18"/>
                <w:szCs w:val="18"/>
              </w:rPr>
            </w:pPr>
            <w:r w:rsidRPr="00FD2413">
              <w:rPr>
                <w:rFonts w:cs="Arial"/>
                <w:sz w:val="18"/>
                <w:szCs w:val="18"/>
              </w:rPr>
              <w:t>Bei einem verstorbenen Mitglied die Erben</w:t>
            </w:r>
          </w:p>
          <w:p w14:paraId="1D41110D" w14:textId="77777777" w:rsidR="00FE42DE" w:rsidRPr="00FD2413" w:rsidRDefault="00FE42DE" w:rsidP="00CC02F7">
            <w:pPr>
              <w:pStyle w:val="Listenabsatz"/>
              <w:widowControl w:val="0"/>
              <w:numPr>
                <w:ilvl w:val="0"/>
                <w:numId w:val="1"/>
              </w:numPr>
              <w:tabs>
                <w:tab w:val="left" w:pos="567"/>
              </w:tabs>
              <w:spacing w:before="120"/>
              <w:ind w:left="547" w:hanging="346"/>
              <w:jc w:val="both"/>
              <w:rPr>
                <w:rFonts w:cs="Arial"/>
                <w:sz w:val="18"/>
                <w:szCs w:val="18"/>
              </w:rPr>
            </w:pPr>
            <w:r w:rsidRPr="00FD2413">
              <w:rPr>
                <w:rFonts w:cs="Arial"/>
                <w:sz w:val="18"/>
                <w:szCs w:val="18"/>
              </w:rPr>
              <w:t>der Prüfungsverband</w:t>
            </w:r>
          </w:p>
          <w:p w14:paraId="6437EF38" w14:textId="372C5639" w:rsidR="00FE42DE" w:rsidRDefault="00FE42DE" w:rsidP="006A5DB0">
            <w:pPr>
              <w:widowControl w:val="0"/>
              <w:tabs>
                <w:tab w:val="left" w:pos="567"/>
              </w:tabs>
              <w:spacing w:before="120"/>
              <w:ind w:left="194" w:hanging="194"/>
              <w:rPr>
                <w:rFonts w:cs="Arial"/>
                <w:sz w:val="18"/>
                <w:szCs w:val="18"/>
              </w:rPr>
            </w:pPr>
            <w:r w:rsidRPr="00FD2413">
              <w:rPr>
                <w:rFonts w:cs="Arial"/>
                <w:sz w:val="18"/>
                <w:szCs w:val="18"/>
              </w:rPr>
              <w:t xml:space="preserve">    </w:t>
            </w:r>
            <w:r w:rsidR="002F1EBE">
              <w:rPr>
                <w:rFonts w:cs="Arial"/>
                <w:sz w:val="18"/>
                <w:szCs w:val="18"/>
              </w:rPr>
              <w:t xml:space="preserve"> </w:t>
            </w:r>
            <w:r w:rsidRPr="00FD2413">
              <w:rPr>
                <w:rFonts w:cs="Arial"/>
                <w:sz w:val="18"/>
                <w:szCs w:val="18"/>
              </w:rPr>
              <w:t>Nicht einzuladen sind ausgeschlossene Mitglieder</w:t>
            </w:r>
            <w:r w:rsidR="002F1EBE">
              <w:rPr>
                <w:rFonts w:cs="Arial"/>
                <w:sz w:val="18"/>
                <w:szCs w:val="18"/>
              </w:rPr>
              <w:br/>
            </w:r>
            <w:r w:rsidRPr="00FD2413">
              <w:rPr>
                <w:rFonts w:cs="Arial"/>
                <w:sz w:val="18"/>
                <w:szCs w:val="18"/>
              </w:rPr>
              <w:t>von dem Zeitpunkt der Absendung des Ausschließungsbeschlusses an.</w:t>
            </w:r>
          </w:p>
          <w:p w14:paraId="0C970F17" w14:textId="1AE820E0" w:rsidR="00173A55" w:rsidRPr="00173A55" w:rsidRDefault="00173A55" w:rsidP="006A5DB0">
            <w:pPr>
              <w:widowControl w:val="0"/>
              <w:tabs>
                <w:tab w:val="left" w:pos="567"/>
              </w:tabs>
              <w:spacing w:before="120"/>
              <w:ind w:left="290" w:hanging="290"/>
              <w:rPr>
                <w:rFonts w:cs="Arial"/>
                <w:b/>
                <w:bCs/>
                <w:sz w:val="22"/>
                <w:szCs w:val="22"/>
              </w:rPr>
            </w:pPr>
            <w:r w:rsidRPr="00173A55">
              <w:rPr>
                <w:rFonts w:cs="Arial"/>
                <w:b/>
                <w:bCs/>
                <w:sz w:val="22"/>
                <w:szCs w:val="22"/>
              </w:rPr>
              <w:t>e)</w:t>
            </w:r>
            <w:r w:rsidR="0020449A">
              <w:rPr>
                <w:rFonts w:cs="Arial"/>
                <w:b/>
                <w:bCs/>
                <w:sz w:val="22"/>
                <w:szCs w:val="22"/>
              </w:rPr>
              <w:tab/>
            </w:r>
            <w:r w:rsidRPr="00173A55">
              <w:rPr>
                <w:rFonts w:cs="Arial"/>
                <w:b/>
                <w:bCs/>
                <w:sz w:val="22"/>
                <w:szCs w:val="22"/>
              </w:rPr>
              <w:t xml:space="preserve">Ist die Einladungsfrist von </w:t>
            </w:r>
            <w:r w:rsidRPr="00173A55">
              <w:rPr>
                <w:rFonts w:cs="Arial"/>
                <w:b/>
                <w:bCs/>
                <w:sz w:val="22"/>
                <w:szCs w:val="22"/>
              </w:rPr>
              <w:br/>
              <w:t xml:space="preserve">2 Wochen eingehalten worden? </w:t>
            </w:r>
          </w:p>
          <w:p w14:paraId="1A2A9550" w14:textId="77777777" w:rsidR="00173A55" w:rsidRPr="00CD78E0" w:rsidRDefault="00173A55" w:rsidP="00CC02F7">
            <w:pPr>
              <w:widowControl w:val="0"/>
              <w:tabs>
                <w:tab w:val="left" w:pos="567"/>
              </w:tabs>
              <w:spacing w:before="120"/>
              <w:ind w:left="248"/>
              <w:jc w:val="both"/>
              <w:rPr>
                <w:rFonts w:cs="Arial"/>
                <w:sz w:val="18"/>
                <w:szCs w:val="18"/>
              </w:rPr>
            </w:pPr>
            <w:r w:rsidRPr="00CD78E0">
              <w:rPr>
                <w:rFonts w:cs="Arial"/>
                <w:sz w:val="18"/>
                <w:szCs w:val="18"/>
              </w:rPr>
              <w:t>Zwischen dem Tag der Mitgliederversammlung/ Vertreterversammlung und dem Tag, an dem die Mitteilung in Textform gemäß § 33 Abs. 8 MS als zugegangen gilt, oder dem Datum des die Bekanntmachung enthaltenden Blattes muss ein Zeitraum von mindestens zwei Wochen liegen. Es wird empfohlen die Einladungsfrist großzügig zu bemessen.</w:t>
            </w:r>
          </w:p>
          <w:p w14:paraId="6EAEDB20" w14:textId="7D0FF0D1" w:rsidR="00173A55" w:rsidRDefault="00173A55" w:rsidP="00CC02F7">
            <w:pPr>
              <w:widowControl w:val="0"/>
              <w:tabs>
                <w:tab w:val="left" w:pos="567"/>
              </w:tabs>
              <w:spacing w:before="120" w:after="120"/>
              <w:ind w:left="260" w:hanging="11"/>
              <w:jc w:val="both"/>
              <w:rPr>
                <w:rFonts w:cs="Arial"/>
                <w:sz w:val="18"/>
                <w:szCs w:val="18"/>
              </w:rPr>
            </w:pPr>
            <w:r w:rsidRPr="00CD78E0">
              <w:rPr>
                <w:rFonts w:cs="Arial"/>
                <w:sz w:val="18"/>
                <w:szCs w:val="18"/>
              </w:rPr>
              <w:t>Weder der Tag der Mitgliederversammlung/ Vertreterversammlung noch der Tag, an dem die Mitteilung in Textform gemäß § 33 Abs. 8 MS als zugegangen gilt, oder das Datum des die Bekanntmachung enthaltenen Blattes werden mitgerechnet.</w:t>
            </w:r>
          </w:p>
          <w:p w14:paraId="6A85A4AF" w14:textId="77777777" w:rsidR="004E4B47" w:rsidRDefault="004E4B47" w:rsidP="004E4B47">
            <w:pPr>
              <w:widowControl w:val="0"/>
              <w:tabs>
                <w:tab w:val="left" w:pos="567"/>
              </w:tabs>
              <w:spacing w:before="120"/>
              <w:rPr>
                <w:rFonts w:cs="Arial"/>
                <w:b/>
                <w:bCs/>
                <w:color w:val="0A2F41" w:themeColor="accent1" w:themeShade="80"/>
                <w:sz w:val="28"/>
                <w:szCs w:val="28"/>
              </w:rPr>
            </w:pPr>
          </w:p>
          <w:p w14:paraId="687FD79A" w14:textId="1CE078C3" w:rsidR="004E4B47" w:rsidRPr="004E4B47" w:rsidRDefault="004E4B47" w:rsidP="004E4B47">
            <w:pPr>
              <w:widowControl w:val="0"/>
              <w:tabs>
                <w:tab w:val="left" w:pos="567"/>
              </w:tabs>
              <w:spacing w:before="120"/>
              <w:rPr>
                <w:rFonts w:cs="Arial"/>
                <w:b/>
                <w:bCs/>
                <w:color w:val="0A2F41" w:themeColor="accent1" w:themeShade="80"/>
                <w:sz w:val="28"/>
                <w:szCs w:val="28"/>
              </w:rPr>
            </w:pPr>
            <w:r w:rsidRPr="004E4B47">
              <w:rPr>
                <w:rFonts w:cs="Arial"/>
                <w:b/>
                <w:bCs/>
                <w:color w:val="0A2F41" w:themeColor="accent1" w:themeShade="80"/>
                <w:sz w:val="28"/>
                <w:szCs w:val="28"/>
              </w:rPr>
              <w:t>Tagesordnung</w:t>
            </w:r>
          </w:p>
          <w:p w14:paraId="0B7F2676" w14:textId="7554822C" w:rsidR="004E4B47" w:rsidRPr="004E4B47" w:rsidRDefault="004E4B47" w:rsidP="00931F58">
            <w:pPr>
              <w:widowControl w:val="0"/>
              <w:tabs>
                <w:tab w:val="left" w:pos="567"/>
              </w:tabs>
              <w:spacing w:before="120"/>
              <w:ind w:left="290" w:hanging="290"/>
              <w:jc w:val="both"/>
              <w:rPr>
                <w:rFonts w:cs="Arial"/>
                <w:b/>
                <w:bCs/>
                <w:sz w:val="22"/>
                <w:szCs w:val="22"/>
              </w:rPr>
            </w:pPr>
            <w:r w:rsidRPr="004E4B47">
              <w:rPr>
                <w:rFonts w:cs="Arial"/>
                <w:b/>
                <w:bCs/>
                <w:sz w:val="22"/>
                <w:szCs w:val="22"/>
              </w:rPr>
              <w:t>f)</w:t>
            </w:r>
            <w:r w:rsidR="0020449A">
              <w:rPr>
                <w:rFonts w:cs="Arial"/>
                <w:b/>
                <w:bCs/>
                <w:sz w:val="22"/>
                <w:szCs w:val="22"/>
              </w:rPr>
              <w:tab/>
            </w:r>
            <w:r w:rsidRPr="004E4B47">
              <w:rPr>
                <w:rFonts w:cs="Arial"/>
                <w:b/>
                <w:bCs/>
                <w:sz w:val="22"/>
                <w:szCs w:val="22"/>
              </w:rPr>
              <w:t>Ist die Tagesordnung ordnungsgemäß b</w:t>
            </w:r>
            <w:r w:rsidR="00931F58">
              <w:rPr>
                <w:rFonts w:cs="Arial"/>
                <w:b/>
                <w:bCs/>
                <w:sz w:val="22"/>
                <w:szCs w:val="22"/>
              </w:rPr>
              <w:t>e</w:t>
            </w:r>
            <w:r w:rsidRPr="004E4B47">
              <w:rPr>
                <w:rFonts w:cs="Arial"/>
                <w:b/>
                <w:bCs/>
                <w:sz w:val="22"/>
                <w:szCs w:val="22"/>
              </w:rPr>
              <w:t>kanntgegeben worden?</w:t>
            </w:r>
          </w:p>
          <w:p w14:paraId="27F33C7C" w14:textId="77777777" w:rsidR="004E4B47" w:rsidRPr="00952356" w:rsidRDefault="004E4B47" w:rsidP="0001226E">
            <w:pPr>
              <w:widowControl w:val="0"/>
              <w:tabs>
                <w:tab w:val="left" w:pos="567"/>
              </w:tabs>
              <w:spacing w:before="120"/>
              <w:ind w:left="262" w:hanging="14"/>
              <w:jc w:val="both"/>
              <w:rPr>
                <w:rFonts w:cs="Arial"/>
                <w:sz w:val="18"/>
                <w:szCs w:val="18"/>
              </w:rPr>
            </w:pPr>
            <w:r>
              <w:rPr>
                <w:rFonts w:cs="Arial"/>
                <w:sz w:val="18"/>
                <w:szCs w:val="18"/>
              </w:rPr>
              <w:t>G</w:t>
            </w:r>
            <w:r w:rsidRPr="00952356">
              <w:rPr>
                <w:rFonts w:cs="Arial"/>
                <w:sz w:val="18"/>
                <w:szCs w:val="18"/>
              </w:rPr>
              <w:t>gü. den Mitgliedern bei MV / ggü. Vertretern bei VV</w:t>
            </w:r>
            <w:r>
              <w:rPr>
                <w:rFonts w:cs="Arial"/>
                <w:sz w:val="18"/>
                <w:szCs w:val="18"/>
              </w:rPr>
              <w:t xml:space="preserve">; </w:t>
            </w:r>
            <w:r w:rsidRPr="00952356">
              <w:rPr>
                <w:rFonts w:cs="Arial"/>
                <w:sz w:val="18"/>
                <w:szCs w:val="18"/>
              </w:rPr>
              <w:t>zusätzlich ggü. allen Mitgliedern bei VV durch Veröffentlichung im Genossenschaftsblatt oder im Internet unter der Adresse der Genossenschaft oder durch unmittelbare Benachrichtigung in Textform (auch Schriftform)</w:t>
            </w:r>
          </w:p>
          <w:p w14:paraId="39641CB1" w14:textId="3EFFC88D" w:rsidR="004E4B47" w:rsidRPr="004E4B47" w:rsidRDefault="004E4B47" w:rsidP="007020BB">
            <w:pPr>
              <w:widowControl w:val="0"/>
              <w:tabs>
                <w:tab w:val="left" w:pos="567"/>
              </w:tabs>
              <w:spacing w:before="120"/>
              <w:ind w:left="290" w:hanging="290"/>
              <w:rPr>
                <w:rFonts w:cs="Arial"/>
                <w:b/>
                <w:bCs/>
                <w:sz w:val="22"/>
                <w:szCs w:val="22"/>
              </w:rPr>
            </w:pPr>
            <w:r w:rsidRPr="004E4B47">
              <w:rPr>
                <w:rFonts w:cs="Arial"/>
                <w:b/>
                <w:bCs/>
                <w:sz w:val="22"/>
                <w:szCs w:val="22"/>
              </w:rPr>
              <w:t>g)</w:t>
            </w:r>
            <w:r w:rsidR="0020449A">
              <w:rPr>
                <w:rFonts w:cs="Arial"/>
                <w:b/>
                <w:bCs/>
                <w:sz w:val="22"/>
                <w:szCs w:val="22"/>
              </w:rPr>
              <w:tab/>
            </w:r>
            <w:r w:rsidRPr="004E4B47">
              <w:rPr>
                <w:rFonts w:cs="Arial"/>
                <w:b/>
                <w:bCs/>
                <w:sz w:val="22"/>
                <w:szCs w:val="22"/>
              </w:rPr>
              <w:t xml:space="preserve">Ist die Tagesordnung inhaltlich ordnungsgemäß? </w:t>
            </w:r>
          </w:p>
          <w:p w14:paraId="082F6C17" w14:textId="1AA33A43" w:rsidR="003614AC" w:rsidRPr="0001226E" w:rsidRDefault="004E4B47" w:rsidP="0001226E">
            <w:pPr>
              <w:widowControl w:val="0"/>
              <w:tabs>
                <w:tab w:val="left" w:pos="567"/>
              </w:tabs>
              <w:spacing w:before="120"/>
              <w:ind w:left="262" w:hanging="14"/>
              <w:jc w:val="both"/>
              <w:rPr>
                <w:rFonts w:cs="Arial"/>
                <w:sz w:val="18"/>
                <w:szCs w:val="18"/>
              </w:rPr>
            </w:pPr>
            <w:r w:rsidRPr="00CD78E0">
              <w:rPr>
                <w:rFonts w:cs="Arial"/>
                <w:sz w:val="18"/>
                <w:szCs w:val="18"/>
              </w:rPr>
              <w:t xml:space="preserve">Es sind nur Tagesordnungspunkte zulässig, die in die Zuständigkeit der Generalversammlung gemäß </w:t>
            </w:r>
            <w:r w:rsidR="00421D55">
              <w:rPr>
                <w:rFonts w:cs="Arial"/>
                <w:sz w:val="18"/>
                <w:szCs w:val="18"/>
              </w:rPr>
              <w:br/>
            </w:r>
            <w:r w:rsidRPr="00CD78E0">
              <w:rPr>
                <w:rFonts w:cs="Arial"/>
                <w:sz w:val="18"/>
                <w:szCs w:val="18"/>
              </w:rPr>
              <w:t xml:space="preserve">§ 35 MS fallen. </w:t>
            </w:r>
          </w:p>
          <w:p w14:paraId="700A0215" w14:textId="77777777" w:rsidR="006A5DB0" w:rsidRDefault="006A5DB0" w:rsidP="007020BB">
            <w:pPr>
              <w:widowControl w:val="0"/>
              <w:tabs>
                <w:tab w:val="left" w:pos="567"/>
              </w:tabs>
              <w:spacing w:before="120"/>
              <w:ind w:left="290" w:hanging="290"/>
              <w:jc w:val="both"/>
              <w:rPr>
                <w:rFonts w:cs="Arial"/>
                <w:b/>
                <w:bCs/>
                <w:sz w:val="22"/>
                <w:szCs w:val="22"/>
              </w:rPr>
            </w:pPr>
          </w:p>
          <w:p w14:paraId="2F78F925" w14:textId="77777777" w:rsidR="006A5DB0" w:rsidRDefault="006A5DB0" w:rsidP="007020BB">
            <w:pPr>
              <w:widowControl w:val="0"/>
              <w:tabs>
                <w:tab w:val="left" w:pos="567"/>
              </w:tabs>
              <w:spacing w:before="120"/>
              <w:ind w:left="290" w:hanging="290"/>
              <w:jc w:val="both"/>
              <w:rPr>
                <w:rFonts w:cs="Arial"/>
                <w:b/>
                <w:bCs/>
                <w:sz w:val="22"/>
                <w:szCs w:val="22"/>
              </w:rPr>
            </w:pPr>
          </w:p>
          <w:p w14:paraId="04F4579B" w14:textId="77777777" w:rsidR="006A5DB0" w:rsidRDefault="006A5DB0" w:rsidP="007020BB">
            <w:pPr>
              <w:widowControl w:val="0"/>
              <w:tabs>
                <w:tab w:val="left" w:pos="567"/>
              </w:tabs>
              <w:spacing w:before="120"/>
              <w:ind w:left="290" w:hanging="290"/>
              <w:jc w:val="both"/>
              <w:rPr>
                <w:rFonts w:cs="Arial"/>
                <w:b/>
                <w:bCs/>
                <w:sz w:val="22"/>
                <w:szCs w:val="22"/>
              </w:rPr>
            </w:pPr>
          </w:p>
          <w:p w14:paraId="7BAA8D82" w14:textId="77777777" w:rsidR="006A5DB0" w:rsidRDefault="006A5DB0" w:rsidP="007020BB">
            <w:pPr>
              <w:widowControl w:val="0"/>
              <w:tabs>
                <w:tab w:val="left" w:pos="567"/>
              </w:tabs>
              <w:spacing w:before="120"/>
              <w:ind w:left="290" w:hanging="290"/>
              <w:jc w:val="both"/>
              <w:rPr>
                <w:rFonts w:cs="Arial"/>
                <w:b/>
                <w:bCs/>
                <w:sz w:val="22"/>
                <w:szCs w:val="22"/>
              </w:rPr>
            </w:pPr>
          </w:p>
          <w:p w14:paraId="22C641C6" w14:textId="2CD17CB9" w:rsidR="00D41D11" w:rsidRPr="00D41D11" w:rsidRDefault="00D41D11" w:rsidP="007020BB">
            <w:pPr>
              <w:widowControl w:val="0"/>
              <w:tabs>
                <w:tab w:val="left" w:pos="567"/>
              </w:tabs>
              <w:spacing w:before="120"/>
              <w:ind w:left="290" w:hanging="290"/>
              <w:jc w:val="both"/>
              <w:rPr>
                <w:rFonts w:cs="Arial"/>
                <w:b/>
                <w:bCs/>
                <w:sz w:val="22"/>
                <w:szCs w:val="22"/>
              </w:rPr>
            </w:pPr>
            <w:r w:rsidRPr="00D41D11">
              <w:rPr>
                <w:rFonts w:cs="Arial"/>
                <w:b/>
                <w:bCs/>
                <w:sz w:val="22"/>
                <w:szCs w:val="22"/>
              </w:rPr>
              <w:lastRenderedPageBreak/>
              <w:t>h)</w:t>
            </w:r>
            <w:r w:rsidR="007020BB">
              <w:rPr>
                <w:rFonts w:cs="Arial"/>
                <w:b/>
                <w:bCs/>
                <w:sz w:val="22"/>
                <w:szCs w:val="22"/>
              </w:rPr>
              <w:tab/>
            </w:r>
            <w:r w:rsidRPr="00D41D11">
              <w:rPr>
                <w:rFonts w:cs="Arial"/>
                <w:b/>
                <w:bCs/>
                <w:sz w:val="22"/>
                <w:szCs w:val="22"/>
              </w:rPr>
              <w:t xml:space="preserve">Ist die Tagesordnung von dem Organ festgelegt worden, das die GV einberuft? </w:t>
            </w:r>
          </w:p>
          <w:p w14:paraId="477D602C" w14:textId="05FF9AB4" w:rsidR="00D41D11" w:rsidRDefault="00D41D11" w:rsidP="00D10998">
            <w:pPr>
              <w:widowControl w:val="0"/>
              <w:tabs>
                <w:tab w:val="left" w:pos="567"/>
              </w:tabs>
              <w:spacing w:before="120"/>
              <w:ind w:left="262" w:hanging="14"/>
              <w:jc w:val="both"/>
              <w:rPr>
                <w:rFonts w:cs="Arial"/>
                <w:sz w:val="18"/>
                <w:szCs w:val="18"/>
              </w:rPr>
            </w:pPr>
            <w:r w:rsidRPr="00FD2413">
              <w:rPr>
                <w:rFonts w:cs="Arial"/>
                <w:sz w:val="18"/>
                <w:szCs w:val="18"/>
              </w:rPr>
              <w:t>Die Tagesordnung ist vom Aufsichtsrat festzulegen, wenn der Aufsichtsratsvorsitzende die GV einberuft. Einzelne Genossenschaftsmitglieder, auch einzelne Mitglieder des Vorstandes oder des Aufsichtsrates können nicht verlangen, dass Gegenstände zur</w:t>
            </w:r>
            <w:r w:rsidR="00711297" w:rsidRPr="00FD2413">
              <w:rPr>
                <w:rFonts w:cs="Arial"/>
                <w:sz w:val="18"/>
                <w:szCs w:val="18"/>
              </w:rPr>
              <w:t xml:space="preserve"> Beschlussfassung in der GV angekündigt werden. Vorschläge sind nur als Empfehlungen zu betrachten. Gemäß § 33 der MS kann ausnahmsweise der zehnte Teil der Mitglieder oder bei einer VV auch der dritte Teil der Vertreter die Ergänzung der Tagesordnung mit Gegenständen verlangen, die in die Zuständigkeit der GV fallen.</w:t>
            </w:r>
          </w:p>
          <w:p w14:paraId="6F2E3C77" w14:textId="6A33EFAC" w:rsidR="00973760" w:rsidRPr="00973760" w:rsidRDefault="00973760" w:rsidP="00FC46DA">
            <w:pPr>
              <w:widowControl w:val="0"/>
              <w:tabs>
                <w:tab w:val="left" w:pos="567"/>
              </w:tabs>
              <w:spacing w:before="120"/>
              <w:ind w:left="290" w:hanging="290"/>
              <w:rPr>
                <w:rFonts w:cs="Arial"/>
                <w:b/>
                <w:bCs/>
                <w:sz w:val="22"/>
                <w:szCs w:val="22"/>
              </w:rPr>
            </w:pPr>
            <w:r w:rsidRPr="00973760">
              <w:rPr>
                <w:rFonts w:cs="Arial"/>
                <w:b/>
                <w:bCs/>
                <w:sz w:val="22"/>
                <w:szCs w:val="22"/>
              </w:rPr>
              <w:t>i)</w:t>
            </w:r>
            <w:r w:rsidR="00FB02C1">
              <w:rPr>
                <w:rFonts w:cs="Arial"/>
                <w:b/>
                <w:bCs/>
                <w:sz w:val="22"/>
                <w:szCs w:val="22"/>
              </w:rPr>
              <w:tab/>
            </w:r>
            <w:r w:rsidRPr="00973760">
              <w:rPr>
                <w:rFonts w:cs="Arial"/>
                <w:b/>
                <w:bCs/>
                <w:sz w:val="22"/>
                <w:szCs w:val="22"/>
              </w:rPr>
              <w:t xml:space="preserve">Sind zumindest die TOPs der Regeltagesordnung bzw. der zu fassenden Beschlüsse fristgemäß bekanntgegeben worden? </w:t>
            </w:r>
          </w:p>
          <w:p w14:paraId="5BD28F39" w14:textId="77777777" w:rsidR="00973760" w:rsidRPr="00952356" w:rsidRDefault="00973760" w:rsidP="0073496B">
            <w:pPr>
              <w:widowControl w:val="0"/>
              <w:tabs>
                <w:tab w:val="left" w:pos="567"/>
              </w:tabs>
              <w:spacing w:before="120"/>
              <w:ind w:left="262" w:hanging="14"/>
              <w:jc w:val="both"/>
              <w:rPr>
                <w:rFonts w:cs="Arial"/>
                <w:sz w:val="18"/>
                <w:szCs w:val="18"/>
              </w:rPr>
            </w:pPr>
            <w:r w:rsidRPr="00952356">
              <w:rPr>
                <w:rFonts w:cs="Arial"/>
                <w:sz w:val="18"/>
                <w:szCs w:val="18"/>
              </w:rPr>
              <w:t>Regeltagesordnung:</w:t>
            </w:r>
          </w:p>
          <w:p w14:paraId="37CD706C"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TOP 1</w:t>
            </w:r>
            <w:r w:rsidRPr="00952356">
              <w:rPr>
                <w:rFonts w:cs="Arial"/>
                <w:sz w:val="18"/>
                <w:szCs w:val="18"/>
              </w:rPr>
              <w:tab/>
              <w:t>Bericht des Vorstandes über das Geschäftsjahr 20…</w:t>
            </w:r>
          </w:p>
          <w:p w14:paraId="5F5EBC98"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TOP 2</w:t>
            </w:r>
            <w:r w:rsidRPr="00952356">
              <w:rPr>
                <w:rFonts w:cs="Arial"/>
                <w:sz w:val="18"/>
                <w:szCs w:val="18"/>
              </w:rPr>
              <w:tab/>
              <w:t>Bericht des Aufsichtsrates über seine Tätigkeit</w:t>
            </w:r>
          </w:p>
          <w:p w14:paraId="5075F97F"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TOP 3</w:t>
            </w:r>
            <w:r w:rsidRPr="00952356">
              <w:rPr>
                <w:rFonts w:cs="Arial"/>
                <w:sz w:val="18"/>
                <w:szCs w:val="18"/>
              </w:rPr>
              <w:tab/>
              <w:t>Bericht über das Ergebnis der gesetzlichen Prüfung (§ 59 GenG), Erklärung des Aufsichtsrates hierzu, wenn Prüfungsverband nicht anwesend</w:t>
            </w:r>
          </w:p>
          <w:p w14:paraId="58F154A7" w14:textId="07431666"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TOP 4</w:t>
            </w:r>
            <w:r w:rsidRPr="00952356">
              <w:rPr>
                <w:rFonts w:cs="Arial"/>
                <w:sz w:val="18"/>
                <w:szCs w:val="18"/>
              </w:rPr>
              <w:tab/>
              <w:t>Beratung und Beschlussfassung über den Umfang der Bekanntmachung des Prüfungsberichts/ die Beschränkung der Verlesung des Prüfungsberichts auf das zusammengefasste Prüfungsergebnis</w:t>
            </w:r>
            <w:r w:rsidR="00421D55">
              <w:rPr>
                <w:rFonts w:cs="Arial"/>
                <w:sz w:val="18"/>
                <w:szCs w:val="18"/>
              </w:rPr>
              <w:t xml:space="preserve"> </w:t>
            </w:r>
          </w:p>
          <w:p w14:paraId="3D496A80"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TOP 5</w:t>
            </w:r>
            <w:r w:rsidRPr="00952356">
              <w:rPr>
                <w:rFonts w:cs="Arial"/>
                <w:sz w:val="18"/>
                <w:szCs w:val="18"/>
              </w:rPr>
              <w:tab/>
              <w:t>Beschluss über die Feststellung des Jahresabschlusses 20…</w:t>
            </w:r>
          </w:p>
          <w:p w14:paraId="4487968D"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TOP 6</w:t>
            </w:r>
            <w:r w:rsidRPr="00952356">
              <w:rPr>
                <w:rFonts w:cs="Arial"/>
                <w:sz w:val="18"/>
                <w:szCs w:val="18"/>
              </w:rPr>
              <w:tab/>
              <w:t>Beschluss über die Verwendung des Jahresüberschusses oder die Deckung des Jahresfehlbetrages</w:t>
            </w:r>
          </w:p>
          <w:p w14:paraId="20A78833"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TOP 7</w:t>
            </w:r>
            <w:r w:rsidRPr="00952356">
              <w:rPr>
                <w:rFonts w:cs="Arial"/>
                <w:sz w:val="18"/>
                <w:szCs w:val="18"/>
              </w:rPr>
              <w:tab/>
              <w:t>Entlastung der Mitglieder des Vorstandes</w:t>
            </w:r>
          </w:p>
          <w:p w14:paraId="5620D25C"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TOP 8</w:t>
            </w:r>
            <w:r w:rsidRPr="00952356">
              <w:rPr>
                <w:rFonts w:cs="Arial"/>
                <w:sz w:val="18"/>
                <w:szCs w:val="18"/>
              </w:rPr>
              <w:tab/>
              <w:t>Entlastung der Mitglieder des Aufsichtsrates</w:t>
            </w:r>
          </w:p>
          <w:p w14:paraId="4432F85A"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 xml:space="preserve">TOP 9 </w:t>
            </w:r>
            <w:r w:rsidRPr="00952356">
              <w:rPr>
                <w:rFonts w:cs="Arial"/>
                <w:sz w:val="18"/>
                <w:szCs w:val="18"/>
              </w:rPr>
              <w:tab/>
              <w:t>ggf. Wahl des Aufsichtsrates (beinhaltet auch den Beschluss über die Anzahl der Aufsichtsratsmitglieder bis auf Widerruf)</w:t>
            </w:r>
          </w:p>
          <w:p w14:paraId="726E61DE"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 xml:space="preserve">TOP 10 </w:t>
            </w:r>
            <w:r w:rsidRPr="00952356">
              <w:rPr>
                <w:rFonts w:cs="Arial"/>
                <w:sz w:val="18"/>
                <w:szCs w:val="18"/>
              </w:rPr>
              <w:tab/>
              <w:t>ggf. Wahl der Mitglieder der Wahlkommission für die Vertreterwahl</w:t>
            </w:r>
          </w:p>
          <w:p w14:paraId="0FAD854D" w14:textId="77777777" w:rsidR="00973760" w:rsidRPr="00952356" w:rsidRDefault="00973760" w:rsidP="0073496B">
            <w:pPr>
              <w:widowControl w:val="0"/>
              <w:tabs>
                <w:tab w:val="left" w:pos="567"/>
              </w:tabs>
              <w:spacing w:before="120"/>
              <w:ind w:left="1051" w:hanging="803"/>
              <w:jc w:val="both"/>
              <w:rPr>
                <w:rFonts w:cs="Arial"/>
                <w:sz w:val="18"/>
                <w:szCs w:val="18"/>
              </w:rPr>
            </w:pPr>
            <w:r w:rsidRPr="00952356">
              <w:rPr>
                <w:rFonts w:cs="Arial"/>
                <w:sz w:val="18"/>
                <w:szCs w:val="18"/>
              </w:rPr>
              <w:t xml:space="preserve">TOP 11 </w:t>
            </w:r>
            <w:r w:rsidRPr="00952356">
              <w:rPr>
                <w:rFonts w:cs="Arial"/>
                <w:sz w:val="18"/>
                <w:szCs w:val="18"/>
              </w:rPr>
              <w:tab/>
              <w:t>ggf. Beschluss über die Neufassung der Satzung oder Satzungsänderungen</w:t>
            </w:r>
          </w:p>
          <w:p w14:paraId="25A452FD" w14:textId="47A1B5B8" w:rsidR="007C59CD" w:rsidRPr="00181FD2" w:rsidRDefault="00973760" w:rsidP="00181FD2">
            <w:pPr>
              <w:widowControl w:val="0"/>
              <w:tabs>
                <w:tab w:val="left" w:pos="567"/>
              </w:tabs>
              <w:spacing w:before="120"/>
              <w:ind w:left="1051" w:hanging="803"/>
              <w:jc w:val="both"/>
              <w:rPr>
                <w:rFonts w:cs="Arial"/>
                <w:sz w:val="18"/>
                <w:szCs w:val="18"/>
              </w:rPr>
            </w:pPr>
            <w:r w:rsidRPr="00952356">
              <w:rPr>
                <w:rFonts w:cs="Arial"/>
                <w:sz w:val="18"/>
                <w:szCs w:val="18"/>
              </w:rPr>
              <w:t xml:space="preserve">TOP 12 </w:t>
            </w:r>
            <w:r w:rsidRPr="00952356">
              <w:rPr>
                <w:rFonts w:cs="Arial"/>
                <w:sz w:val="18"/>
                <w:szCs w:val="18"/>
              </w:rPr>
              <w:tab/>
              <w:t xml:space="preserve">Verschiedenes </w:t>
            </w:r>
          </w:p>
          <w:p w14:paraId="323D59E1" w14:textId="1F0B4E59" w:rsidR="00973760" w:rsidRPr="00973760" w:rsidRDefault="00973760" w:rsidP="00A1047D">
            <w:pPr>
              <w:widowControl w:val="0"/>
              <w:tabs>
                <w:tab w:val="left" w:pos="567"/>
              </w:tabs>
              <w:spacing w:before="120"/>
              <w:ind w:left="201" w:hanging="201"/>
              <w:rPr>
                <w:rFonts w:cs="Arial"/>
                <w:b/>
                <w:bCs/>
                <w:i/>
                <w:iCs/>
                <w:color w:val="0A2F41" w:themeColor="accent1" w:themeShade="80"/>
                <w:sz w:val="22"/>
                <w:szCs w:val="22"/>
              </w:rPr>
            </w:pPr>
            <w:r w:rsidRPr="00973760">
              <w:rPr>
                <w:rFonts w:cs="Arial"/>
                <w:b/>
                <w:bCs/>
                <w:sz w:val="22"/>
                <w:szCs w:val="22"/>
              </w:rPr>
              <w:lastRenderedPageBreak/>
              <w:t>j)</w:t>
            </w:r>
            <w:r w:rsidR="008A7A0C">
              <w:rPr>
                <w:rFonts w:cs="Arial"/>
                <w:b/>
                <w:bCs/>
                <w:sz w:val="22"/>
                <w:szCs w:val="22"/>
              </w:rPr>
              <w:tab/>
            </w:r>
            <w:r w:rsidR="00CC270D">
              <w:rPr>
                <w:rFonts w:cs="Arial"/>
                <w:b/>
                <w:bCs/>
                <w:sz w:val="22"/>
                <w:szCs w:val="22"/>
              </w:rPr>
              <w:t>I</w:t>
            </w:r>
            <w:r w:rsidRPr="00973760">
              <w:rPr>
                <w:rFonts w:cs="Arial"/>
                <w:b/>
                <w:bCs/>
                <w:sz w:val="22"/>
                <w:szCs w:val="22"/>
              </w:rPr>
              <w:t xml:space="preserve">st die Frist zur Versendung der </w:t>
            </w:r>
            <w:r w:rsidRPr="00973760">
              <w:rPr>
                <w:rFonts w:cs="Arial"/>
                <w:b/>
                <w:bCs/>
                <w:sz w:val="22"/>
                <w:szCs w:val="22"/>
              </w:rPr>
              <w:br/>
              <w:t>Tagesordnung eingehalten?</w:t>
            </w:r>
            <w:r w:rsidRPr="00973760">
              <w:rPr>
                <w:rFonts w:cs="Arial"/>
                <w:b/>
                <w:bCs/>
                <w:i/>
                <w:iCs/>
                <w:color w:val="0A2F41" w:themeColor="accent1" w:themeShade="80"/>
                <w:sz w:val="22"/>
                <w:szCs w:val="22"/>
              </w:rPr>
              <w:t xml:space="preserve"> </w:t>
            </w:r>
          </w:p>
          <w:p w14:paraId="76ADE813" w14:textId="77777777" w:rsidR="00973760" w:rsidRPr="00FD2413" w:rsidRDefault="00973760" w:rsidP="00276200">
            <w:pPr>
              <w:widowControl w:val="0"/>
              <w:tabs>
                <w:tab w:val="left" w:pos="567"/>
              </w:tabs>
              <w:spacing w:before="120"/>
              <w:ind w:left="262" w:hanging="14"/>
              <w:jc w:val="both"/>
              <w:rPr>
                <w:rFonts w:cs="Arial"/>
                <w:sz w:val="18"/>
                <w:szCs w:val="18"/>
              </w:rPr>
            </w:pPr>
            <w:r w:rsidRPr="00FD2413">
              <w:rPr>
                <w:rFonts w:cs="Arial"/>
                <w:sz w:val="18"/>
                <w:szCs w:val="18"/>
              </w:rPr>
              <w:t>Bei der Einberufung der GV ist unter Wahrung der gesetzlichen Zwei-Wochen-Mindestfrist auch die konkrete Tagesordnung bekannt zu machen.</w:t>
            </w:r>
          </w:p>
          <w:p w14:paraId="08AD0ADB" w14:textId="77777777" w:rsidR="00973760" w:rsidRDefault="00973760" w:rsidP="00276200">
            <w:pPr>
              <w:widowControl w:val="0"/>
              <w:tabs>
                <w:tab w:val="left" w:pos="567"/>
              </w:tabs>
              <w:spacing w:before="120"/>
              <w:ind w:left="262" w:hanging="14"/>
              <w:jc w:val="both"/>
              <w:rPr>
                <w:rFonts w:cs="Arial"/>
                <w:sz w:val="18"/>
                <w:szCs w:val="18"/>
              </w:rPr>
            </w:pPr>
            <w:r w:rsidRPr="00FD2413">
              <w:rPr>
                <w:rFonts w:cs="Arial"/>
                <w:sz w:val="18"/>
                <w:szCs w:val="18"/>
              </w:rPr>
              <w:t>Nachträglich können Anträge auf Beschlussfassung, soweit sie zur Zuständigkeit der Mitgliederversammlung gehören, in der Tagesordnung aufgenommen werden.</w:t>
            </w:r>
          </w:p>
          <w:p w14:paraId="1F90EA5B" w14:textId="77777777" w:rsidR="00C53BCA" w:rsidRPr="00FD2413" w:rsidRDefault="00C53BCA" w:rsidP="00276200">
            <w:pPr>
              <w:widowControl w:val="0"/>
              <w:tabs>
                <w:tab w:val="left" w:pos="567"/>
              </w:tabs>
              <w:spacing w:before="120"/>
              <w:ind w:left="262" w:hanging="14"/>
              <w:jc w:val="both"/>
              <w:rPr>
                <w:rFonts w:cs="Arial"/>
                <w:sz w:val="18"/>
                <w:szCs w:val="18"/>
              </w:rPr>
            </w:pPr>
            <w:r w:rsidRPr="00FD2413">
              <w:rPr>
                <w:rFonts w:cs="Arial"/>
                <w:sz w:val="18"/>
                <w:szCs w:val="18"/>
              </w:rPr>
              <w:t>Nachträgliche Gegenstände der Tagesordnung müssen rechtzeitig vor der Generalversammlung entsprechend angekündigt werden. Zwischen dem Tag der Generalversammlung und dem Tag, an dem die Mitteilung in Textform als zugegangen gilt, oder dem Datum des die Bekanntmachung enthaltenden Blattes muss ein Zeitraum von mindestens einer Woche liegen.</w:t>
            </w:r>
          </w:p>
          <w:p w14:paraId="157B747C" w14:textId="77777777" w:rsidR="00C53BCA" w:rsidRPr="00FD2413" w:rsidRDefault="00C53BCA" w:rsidP="00276200">
            <w:pPr>
              <w:widowControl w:val="0"/>
              <w:tabs>
                <w:tab w:val="left" w:pos="567"/>
              </w:tabs>
              <w:spacing w:before="120"/>
              <w:ind w:left="262" w:hanging="14"/>
              <w:jc w:val="both"/>
              <w:rPr>
                <w:rFonts w:cs="Arial"/>
                <w:sz w:val="18"/>
                <w:szCs w:val="18"/>
              </w:rPr>
            </w:pPr>
            <w:r w:rsidRPr="00FD2413">
              <w:rPr>
                <w:rFonts w:cs="Arial"/>
                <w:sz w:val="18"/>
                <w:szCs w:val="18"/>
              </w:rPr>
              <w:t>Nach § 46 Abs. 2 GenG können über Gegenstände, deren Verhandlung nicht in der durch die Satzung vorgesehenen Weise mindestens eine Woche vor der GV angekündigt ist, keine Beschlüsse gefasst werden. Dennoch gefasste Beschlüsse sind nichtig bzw. anfechtbar.</w:t>
            </w:r>
          </w:p>
          <w:p w14:paraId="4F9A6BF8" w14:textId="61D4FE04" w:rsidR="00173A55" w:rsidRDefault="00C53BCA" w:rsidP="00276200">
            <w:pPr>
              <w:widowControl w:val="0"/>
              <w:tabs>
                <w:tab w:val="left" w:pos="567"/>
              </w:tabs>
              <w:spacing w:before="120"/>
              <w:ind w:left="262" w:hanging="14"/>
              <w:jc w:val="both"/>
              <w:rPr>
                <w:rFonts w:cs="Arial"/>
                <w:sz w:val="18"/>
                <w:szCs w:val="18"/>
              </w:rPr>
            </w:pPr>
            <w:r w:rsidRPr="00FD2413">
              <w:rPr>
                <w:rFonts w:cs="Arial"/>
                <w:sz w:val="18"/>
                <w:szCs w:val="18"/>
              </w:rPr>
              <w:t>Die rechtzeitige Ankündigung der TOPs soll den Mitgliedern die Möglichkeit geben, sich ausreichend auf die Diskussion und Beschlussfassung vorzubereiten. Daher müssen die einzelnen Punkte der Tagesordnung den Gegenstand der Verhandlung deutlich erkennen lassen.</w:t>
            </w:r>
          </w:p>
          <w:p w14:paraId="2EDB5090" w14:textId="77777777" w:rsidR="00FE42DE" w:rsidRPr="00FE42DE" w:rsidRDefault="00FE42DE" w:rsidP="00FE42DE">
            <w:pPr>
              <w:widowControl w:val="0"/>
              <w:tabs>
                <w:tab w:val="left" w:pos="567"/>
              </w:tabs>
              <w:spacing w:before="120"/>
              <w:ind w:left="262" w:hanging="14"/>
              <w:jc w:val="both"/>
              <w:rPr>
                <w:rFonts w:cs="Arial"/>
                <w:sz w:val="18"/>
                <w:szCs w:val="18"/>
              </w:rPr>
            </w:pPr>
          </w:p>
          <w:p w14:paraId="7E0906EF" w14:textId="77777777" w:rsidR="00276200" w:rsidRPr="00FE42DE" w:rsidRDefault="00276200" w:rsidP="00FE42DE">
            <w:pPr>
              <w:widowControl w:val="0"/>
              <w:tabs>
                <w:tab w:val="left" w:pos="567"/>
              </w:tabs>
              <w:spacing w:before="120"/>
              <w:rPr>
                <w:rFonts w:cs="Arial"/>
                <w:b/>
                <w:bCs/>
                <w:color w:val="0A2F41" w:themeColor="accent1" w:themeShade="80"/>
                <w:sz w:val="28"/>
                <w:szCs w:val="28"/>
              </w:rPr>
            </w:pPr>
          </w:p>
        </w:tc>
        <w:tc>
          <w:tcPr>
            <w:tcW w:w="850" w:type="dxa"/>
          </w:tcPr>
          <w:p w14:paraId="3B5C0013" w14:textId="77777777" w:rsidR="00FE42DE" w:rsidRDefault="00FE42DE" w:rsidP="00FE42DE"/>
        </w:tc>
        <w:tc>
          <w:tcPr>
            <w:tcW w:w="851" w:type="dxa"/>
          </w:tcPr>
          <w:p w14:paraId="537BBF7A" w14:textId="77777777" w:rsidR="00FE42DE" w:rsidRDefault="00FE42DE" w:rsidP="00FE42DE"/>
        </w:tc>
        <w:tc>
          <w:tcPr>
            <w:tcW w:w="4110" w:type="dxa"/>
          </w:tcPr>
          <w:p w14:paraId="4D6D9EB6" w14:textId="77777777" w:rsidR="00FE42DE" w:rsidRDefault="00FE42DE" w:rsidP="00FE42DE"/>
        </w:tc>
      </w:tr>
    </w:tbl>
    <w:p w14:paraId="3679E215" w14:textId="77777777" w:rsidR="00F42306" w:rsidRDefault="00F42306"/>
    <w:p w14:paraId="44768191" w14:textId="77777777" w:rsidR="00C23305" w:rsidRDefault="00C23305"/>
    <w:p w14:paraId="171019B2" w14:textId="77777777" w:rsidR="00C23305" w:rsidRDefault="00C23305"/>
    <w:p w14:paraId="7722E774" w14:textId="6E442D7F" w:rsidR="00C23305" w:rsidRDefault="00C23305" w:rsidP="00C23305">
      <w:pPr>
        <w:jc w:val="center"/>
      </w:pPr>
      <w:r>
        <w:t>-_-_-_-</w:t>
      </w:r>
    </w:p>
    <w:sectPr w:rsidR="00C23305" w:rsidSect="00A22210">
      <w:headerReference w:type="default" r:id="rId8"/>
      <w:footerReference w:type="default" r:id="rId9"/>
      <w:headerReference w:type="first" r:id="rId10"/>
      <w:footerReference w:type="first" r:id="rId11"/>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B123" w14:textId="77777777" w:rsidR="00B67431" w:rsidRDefault="00B67431" w:rsidP="00B85B97">
      <w:pPr>
        <w:spacing w:after="0" w:line="240" w:lineRule="auto"/>
      </w:pPr>
      <w:r>
        <w:separator/>
      </w:r>
    </w:p>
  </w:endnote>
  <w:endnote w:type="continuationSeparator" w:id="0">
    <w:p w14:paraId="51899544" w14:textId="77777777" w:rsidR="00B67431" w:rsidRDefault="00B67431" w:rsidP="00B8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DAD0" w14:textId="04CF80D2" w:rsidR="003660D2" w:rsidRPr="001F2EC9" w:rsidRDefault="00162B7A" w:rsidP="00B12168">
    <w:pPr>
      <w:pStyle w:val="Fuzeile"/>
      <w:pBdr>
        <w:top w:val="single" w:sz="6" w:space="1" w:color="auto"/>
      </w:pBdr>
      <w:tabs>
        <w:tab w:val="clear" w:pos="4536"/>
      </w:tabs>
      <w:rPr>
        <w:rFonts w:cs="Arial"/>
        <w:sz w:val="16"/>
      </w:rPr>
    </w:pPr>
    <w:r w:rsidRPr="00154DA1">
      <w:rPr>
        <w:rFonts w:cs="Arial"/>
        <w:sz w:val="16"/>
      </w:rPr>
      <w:t xml:space="preserve">Stand: </w:t>
    </w:r>
    <w:r>
      <w:rPr>
        <w:rFonts w:cs="Arial"/>
        <w:sz w:val="16"/>
      </w:rPr>
      <w:t xml:space="preserve">Januar 2025 </w:t>
    </w:r>
    <w:r w:rsidR="00B12168">
      <w:rPr>
        <w:rFonts w:cs="Arial"/>
        <w:sz w:val="16"/>
      </w:rPr>
      <w:tab/>
    </w:r>
    <w:r w:rsidR="007E67C1" w:rsidRPr="007E67C1">
      <w:rPr>
        <w:rFonts w:cs="Arial"/>
        <w:sz w:val="16"/>
      </w:rPr>
      <w:fldChar w:fldCharType="begin"/>
    </w:r>
    <w:r w:rsidR="007E67C1" w:rsidRPr="007E67C1">
      <w:rPr>
        <w:rFonts w:cs="Arial"/>
        <w:sz w:val="16"/>
      </w:rPr>
      <w:instrText>PAGE   \* MERGEFORMAT</w:instrText>
    </w:r>
    <w:r w:rsidR="007E67C1" w:rsidRPr="007E67C1">
      <w:rPr>
        <w:rFonts w:cs="Arial"/>
        <w:sz w:val="16"/>
      </w:rPr>
      <w:fldChar w:fldCharType="separate"/>
    </w:r>
    <w:r w:rsidR="007E67C1" w:rsidRPr="007E67C1">
      <w:rPr>
        <w:rFonts w:cs="Arial"/>
        <w:sz w:val="16"/>
      </w:rPr>
      <w:t>1</w:t>
    </w:r>
    <w:r w:rsidR="007E67C1" w:rsidRPr="007E67C1">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947F" w14:textId="54DF2E25" w:rsidR="00350D2F" w:rsidRPr="00154DA1" w:rsidRDefault="00350D2F" w:rsidP="00350D2F">
    <w:pPr>
      <w:pStyle w:val="Fuzeile"/>
      <w:pBdr>
        <w:top w:val="single" w:sz="6" w:space="1" w:color="auto"/>
      </w:pBdr>
      <w:tabs>
        <w:tab w:val="clear" w:pos="4536"/>
        <w:tab w:val="clear" w:pos="9072"/>
        <w:tab w:val="left" w:pos="1985"/>
        <w:tab w:val="left" w:pos="3969"/>
        <w:tab w:val="left" w:pos="5954"/>
      </w:tabs>
      <w:rPr>
        <w:rFonts w:cs="Arial"/>
        <w:sz w:val="16"/>
      </w:rPr>
    </w:pPr>
    <w:bookmarkStart w:id="0" w:name="_Hlk189057813"/>
    <w:bookmarkStart w:id="1" w:name="_Hlk189057814"/>
    <w:r w:rsidRPr="00154DA1">
      <w:rPr>
        <w:rFonts w:cs="Arial"/>
        <w:sz w:val="16"/>
      </w:rPr>
      <w:t xml:space="preserve">Stand: </w:t>
    </w:r>
    <w:r>
      <w:rPr>
        <w:rFonts w:cs="Arial"/>
        <w:sz w:val="16"/>
      </w:rPr>
      <w:t xml:space="preserve">Januar 2025 </w:t>
    </w:r>
    <w:bookmarkEnd w:id="0"/>
    <w:bookmarkEnd w:id="1"/>
  </w:p>
  <w:p w14:paraId="17DC261D" w14:textId="380A93EB" w:rsidR="007E67C1" w:rsidRDefault="007E67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384C" w14:textId="77777777" w:rsidR="00B67431" w:rsidRDefault="00B67431" w:rsidP="00B85B97">
      <w:pPr>
        <w:spacing w:after="0" w:line="240" w:lineRule="auto"/>
      </w:pPr>
      <w:r>
        <w:separator/>
      </w:r>
    </w:p>
  </w:footnote>
  <w:footnote w:type="continuationSeparator" w:id="0">
    <w:p w14:paraId="27630E61" w14:textId="77777777" w:rsidR="00B67431" w:rsidRDefault="00B67431" w:rsidP="00B8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206992"/>
      <w:docPartObj>
        <w:docPartGallery w:val="Page Numbers (Top of Page)"/>
        <w:docPartUnique/>
      </w:docPartObj>
    </w:sdtPr>
    <w:sdtContent>
      <w:p w14:paraId="22A6F72F" w14:textId="77777777" w:rsidR="006B129C" w:rsidRPr="00FD4720" w:rsidRDefault="006B129C" w:rsidP="006B129C">
        <w:pPr>
          <w:pStyle w:val="Kopfzeile"/>
          <w:pBdr>
            <w:bottom w:val="single" w:sz="4" w:space="0" w:color="auto"/>
          </w:pBdr>
          <w:spacing w:after="120"/>
          <w:jc w:val="center"/>
        </w:pPr>
        <w:r>
          <w:t>vtw – Bereich Prüfung</w:t>
        </w:r>
      </w:p>
    </w:sdtContent>
  </w:sdt>
  <w:p w14:paraId="7F84C165" w14:textId="77777777" w:rsidR="006B129C" w:rsidRDefault="006B12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770376"/>
      <w:docPartObj>
        <w:docPartGallery w:val="Page Numbers (Top of Page)"/>
        <w:docPartUnique/>
      </w:docPartObj>
    </w:sdtPr>
    <w:sdtContent>
      <w:p w14:paraId="157C70C6" w14:textId="77777777" w:rsidR="00B32E67" w:rsidRPr="00FD4720" w:rsidRDefault="00B32E67" w:rsidP="00B32E67">
        <w:pPr>
          <w:pStyle w:val="Kopfzeile"/>
          <w:pBdr>
            <w:bottom w:val="single" w:sz="4" w:space="0" w:color="auto"/>
          </w:pBdr>
          <w:spacing w:after="120"/>
          <w:jc w:val="center"/>
        </w:pPr>
        <w:r>
          <w:t>vtw – Bereich Prüfung</w:t>
        </w:r>
      </w:p>
    </w:sdtContent>
  </w:sdt>
  <w:p w14:paraId="41E3EA1E" w14:textId="77777777" w:rsidR="007E67C1" w:rsidRDefault="007E67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B2989"/>
    <w:multiLevelType w:val="hybridMultilevel"/>
    <w:tmpl w:val="39FAB694"/>
    <w:lvl w:ilvl="0" w:tplc="04070003">
      <w:start w:val="1"/>
      <w:numFmt w:val="bullet"/>
      <w:lvlText w:val="o"/>
      <w:lvlJc w:val="left"/>
      <w:pPr>
        <w:ind w:left="968" w:hanging="360"/>
      </w:pPr>
      <w:rPr>
        <w:rFonts w:ascii="Courier New" w:hAnsi="Courier New" w:cs="Courier New" w:hint="default"/>
      </w:rPr>
    </w:lvl>
    <w:lvl w:ilvl="1" w:tplc="04070003" w:tentative="1">
      <w:start w:val="1"/>
      <w:numFmt w:val="bullet"/>
      <w:lvlText w:val="o"/>
      <w:lvlJc w:val="left"/>
      <w:pPr>
        <w:ind w:left="1688" w:hanging="360"/>
      </w:pPr>
      <w:rPr>
        <w:rFonts w:ascii="Courier New" w:hAnsi="Courier New" w:cs="Courier New" w:hint="default"/>
      </w:rPr>
    </w:lvl>
    <w:lvl w:ilvl="2" w:tplc="04070005" w:tentative="1">
      <w:start w:val="1"/>
      <w:numFmt w:val="bullet"/>
      <w:lvlText w:val=""/>
      <w:lvlJc w:val="left"/>
      <w:pPr>
        <w:ind w:left="2408" w:hanging="360"/>
      </w:pPr>
      <w:rPr>
        <w:rFonts w:ascii="Wingdings" w:hAnsi="Wingdings" w:hint="default"/>
      </w:rPr>
    </w:lvl>
    <w:lvl w:ilvl="3" w:tplc="04070001" w:tentative="1">
      <w:start w:val="1"/>
      <w:numFmt w:val="bullet"/>
      <w:lvlText w:val=""/>
      <w:lvlJc w:val="left"/>
      <w:pPr>
        <w:ind w:left="3128" w:hanging="360"/>
      </w:pPr>
      <w:rPr>
        <w:rFonts w:ascii="Symbol" w:hAnsi="Symbol" w:hint="default"/>
      </w:rPr>
    </w:lvl>
    <w:lvl w:ilvl="4" w:tplc="04070003" w:tentative="1">
      <w:start w:val="1"/>
      <w:numFmt w:val="bullet"/>
      <w:lvlText w:val="o"/>
      <w:lvlJc w:val="left"/>
      <w:pPr>
        <w:ind w:left="3848" w:hanging="360"/>
      </w:pPr>
      <w:rPr>
        <w:rFonts w:ascii="Courier New" w:hAnsi="Courier New" w:cs="Courier New" w:hint="default"/>
      </w:rPr>
    </w:lvl>
    <w:lvl w:ilvl="5" w:tplc="04070005" w:tentative="1">
      <w:start w:val="1"/>
      <w:numFmt w:val="bullet"/>
      <w:lvlText w:val=""/>
      <w:lvlJc w:val="left"/>
      <w:pPr>
        <w:ind w:left="4568" w:hanging="360"/>
      </w:pPr>
      <w:rPr>
        <w:rFonts w:ascii="Wingdings" w:hAnsi="Wingdings" w:hint="default"/>
      </w:rPr>
    </w:lvl>
    <w:lvl w:ilvl="6" w:tplc="04070001" w:tentative="1">
      <w:start w:val="1"/>
      <w:numFmt w:val="bullet"/>
      <w:lvlText w:val=""/>
      <w:lvlJc w:val="left"/>
      <w:pPr>
        <w:ind w:left="5288" w:hanging="360"/>
      </w:pPr>
      <w:rPr>
        <w:rFonts w:ascii="Symbol" w:hAnsi="Symbol" w:hint="default"/>
      </w:rPr>
    </w:lvl>
    <w:lvl w:ilvl="7" w:tplc="04070003" w:tentative="1">
      <w:start w:val="1"/>
      <w:numFmt w:val="bullet"/>
      <w:lvlText w:val="o"/>
      <w:lvlJc w:val="left"/>
      <w:pPr>
        <w:ind w:left="6008" w:hanging="360"/>
      </w:pPr>
      <w:rPr>
        <w:rFonts w:ascii="Courier New" w:hAnsi="Courier New" w:cs="Courier New" w:hint="default"/>
      </w:rPr>
    </w:lvl>
    <w:lvl w:ilvl="8" w:tplc="04070005" w:tentative="1">
      <w:start w:val="1"/>
      <w:numFmt w:val="bullet"/>
      <w:lvlText w:val=""/>
      <w:lvlJc w:val="left"/>
      <w:pPr>
        <w:ind w:left="6728" w:hanging="360"/>
      </w:pPr>
      <w:rPr>
        <w:rFonts w:ascii="Wingdings" w:hAnsi="Wingdings" w:hint="default"/>
      </w:rPr>
    </w:lvl>
  </w:abstractNum>
  <w:num w:numId="1" w16cid:durableId="110134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C4"/>
    <w:rsid w:val="0001226E"/>
    <w:rsid w:val="0009190B"/>
    <w:rsid w:val="000B700B"/>
    <w:rsid w:val="001145C5"/>
    <w:rsid w:val="00162B7A"/>
    <w:rsid w:val="00173A55"/>
    <w:rsid w:val="00175251"/>
    <w:rsid w:val="00181FD2"/>
    <w:rsid w:val="001A5557"/>
    <w:rsid w:val="001E1774"/>
    <w:rsid w:val="001F2EC9"/>
    <w:rsid w:val="0020449A"/>
    <w:rsid w:val="002516E9"/>
    <w:rsid w:val="0026151D"/>
    <w:rsid w:val="00276200"/>
    <w:rsid w:val="002A5CD3"/>
    <w:rsid w:val="002F1EBE"/>
    <w:rsid w:val="003233AA"/>
    <w:rsid w:val="00347FD3"/>
    <w:rsid w:val="00350D2F"/>
    <w:rsid w:val="003532A0"/>
    <w:rsid w:val="00360148"/>
    <w:rsid w:val="003614AC"/>
    <w:rsid w:val="003660D2"/>
    <w:rsid w:val="003C286A"/>
    <w:rsid w:val="00413F70"/>
    <w:rsid w:val="00421D55"/>
    <w:rsid w:val="004721F5"/>
    <w:rsid w:val="004B27F9"/>
    <w:rsid w:val="004B5E80"/>
    <w:rsid w:val="004C415F"/>
    <w:rsid w:val="004E4B47"/>
    <w:rsid w:val="00562E13"/>
    <w:rsid w:val="005B287E"/>
    <w:rsid w:val="005B3DE3"/>
    <w:rsid w:val="005E66FE"/>
    <w:rsid w:val="00611034"/>
    <w:rsid w:val="006450D6"/>
    <w:rsid w:val="006A5DB0"/>
    <w:rsid w:val="006B129C"/>
    <w:rsid w:val="006B14B4"/>
    <w:rsid w:val="006D06A8"/>
    <w:rsid w:val="006E3855"/>
    <w:rsid w:val="007020BB"/>
    <w:rsid w:val="00706325"/>
    <w:rsid w:val="00711297"/>
    <w:rsid w:val="0073496B"/>
    <w:rsid w:val="00734ADB"/>
    <w:rsid w:val="007665C7"/>
    <w:rsid w:val="007C59CD"/>
    <w:rsid w:val="007D630B"/>
    <w:rsid w:val="007E67C1"/>
    <w:rsid w:val="00877C56"/>
    <w:rsid w:val="008A7A0C"/>
    <w:rsid w:val="008C133E"/>
    <w:rsid w:val="0092681F"/>
    <w:rsid w:val="00931F58"/>
    <w:rsid w:val="009570BE"/>
    <w:rsid w:val="00971549"/>
    <w:rsid w:val="00973760"/>
    <w:rsid w:val="009771D8"/>
    <w:rsid w:val="00A025F6"/>
    <w:rsid w:val="00A1047D"/>
    <w:rsid w:val="00A15E6B"/>
    <w:rsid w:val="00A22210"/>
    <w:rsid w:val="00A437E0"/>
    <w:rsid w:val="00A6139B"/>
    <w:rsid w:val="00A9625D"/>
    <w:rsid w:val="00B01903"/>
    <w:rsid w:val="00B0774C"/>
    <w:rsid w:val="00B12168"/>
    <w:rsid w:val="00B32E67"/>
    <w:rsid w:val="00B36013"/>
    <w:rsid w:val="00B67431"/>
    <w:rsid w:val="00B85B97"/>
    <w:rsid w:val="00B85D82"/>
    <w:rsid w:val="00C23305"/>
    <w:rsid w:val="00C53BCA"/>
    <w:rsid w:val="00C63256"/>
    <w:rsid w:val="00C87CC4"/>
    <w:rsid w:val="00CC02F7"/>
    <w:rsid w:val="00CC270D"/>
    <w:rsid w:val="00D10998"/>
    <w:rsid w:val="00D41D11"/>
    <w:rsid w:val="00DB08F7"/>
    <w:rsid w:val="00DB7A37"/>
    <w:rsid w:val="00F30284"/>
    <w:rsid w:val="00F42306"/>
    <w:rsid w:val="00F50E49"/>
    <w:rsid w:val="00F84767"/>
    <w:rsid w:val="00FA6CBC"/>
    <w:rsid w:val="00FB02C1"/>
    <w:rsid w:val="00FC46DA"/>
    <w:rsid w:val="00FC6F06"/>
    <w:rsid w:val="00FE4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E8E4"/>
  <w15:chartTrackingRefBased/>
  <w15:docId w15:val="{0E2B21D9-9331-4702-BCD7-CAF59C82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87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87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7C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7C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7C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7C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7C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7C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7C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7C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7C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7C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7C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7C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7C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7C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7C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7CC4"/>
    <w:rPr>
      <w:rFonts w:eastAsiaTheme="majorEastAsia" w:cstheme="majorBidi"/>
      <w:color w:val="272727" w:themeColor="text1" w:themeTint="D8"/>
    </w:rPr>
  </w:style>
  <w:style w:type="paragraph" w:styleId="Titel">
    <w:name w:val="Title"/>
    <w:basedOn w:val="Standard"/>
    <w:next w:val="Standard"/>
    <w:link w:val="TitelZchn"/>
    <w:uiPriority w:val="10"/>
    <w:qFormat/>
    <w:rsid w:val="00C87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7C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7C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7C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7C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7CC4"/>
    <w:rPr>
      <w:i/>
      <w:iCs/>
      <w:color w:val="404040" w:themeColor="text1" w:themeTint="BF"/>
    </w:rPr>
  </w:style>
  <w:style w:type="paragraph" w:styleId="Listenabsatz">
    <w:name w:val="List Paragraph"/>
    <w:basedOn w:val="Standard"/>
    <w:uiPriority w:val="34"/>
    <w:qFormat/>
    <w:rsid w:val="00C87CC4"/>
    <w:pPr>
      <w:ind w:left="720"/>
      <w:contextualSpacing/>
    </w:pPr>
  </w:style>
  <w:style w:type="character" w:styleId="IntensiveHervorhebung">
    <w:name w:val="Intense Emphasis"/>
    <w:basedOn w:val="Absatz-Standardschriftart"/>
    <w:uiPriority w:val="21"/>
    <w:qFormat/>
    <w:rsid w:val="00C87CC4"/>
    <w:rPr>
      <w:i/>
      <w:iCs/>
      <w:color w:val="0F4761" w:themeColor="accent1" w:themeShade="BF"/>
    </w:rPr>
  </w:style>
  <w:style w:type="paragraph" w:styleId="IntensivesZitat">
    <w:name w:val="Intense Quote"/>
    <w:basedOn w:val="Standard"/>
    <w:next w:val="Standard"/>
    <w:link w:val="IntensivesZitatZchn"/>
    <w:uiPriority w:val="30"/>
    <w:qFormat/>
    <w:rsid w:val="00C87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7CC4"/>
    <w:rPr>
      <w:i/>
      <w:iCs/>
      <w:color w:val="0F4761" w:themeColor="accent1" w:themeShade="BF"/>
    </w:rPr>
  </w:style>
  <w:style w:type="character" w:styleId="IntensiverVerweis">
    <w:name w:val="Intense Reference"/>
    <w:basedOn w:val="Absatz-Standardschriftart"/>
    <w:uiPriority w:val="32"/>
    <w:qFormat/>
    <w:rsid w:val="00C87CC4"/>
    <w:rPr>
      <w:b/>
      <w:bCs/>
      <w:smallCaps/>
      <w:color w:val="0F4761" w:themeColor="accent1" w:themeShade="BF"/>
      <w:spacing w:val="5"/>
    </w:rPr>
  </w:style>
  <w:style w:type="table" w:styleId="Tabellenraster">
    <w:name w:val="Table Grid"/>
    <w:basedOn w:val="NormaleTabelle"/>
    <w:uiPriority w:val="39"/>
    <w:rsid w:val="00C8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85B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5B97"/>
  </w:style>
  <w:style w:type="paragraph" w:styleId="Fuzeile">
    <w:name w:val="footer"/>
    <w:basedOn w:val="Standard"/>
    <w:link w:val="FuzeileZchn"/>
    <w:uiPriority w:val="99"/>
    <w:unhideWhenUsed/>
    <w:rsid w:val="00B85B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0189-AE21-4807-A14A-BB541B89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9609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Bätz</dc:creator>
  <cp:keywords/>
  <dc:description/>
  <cp:lastModifiedBy>Michael Kube</cp:lastModifiedBy>
  <cp:revision>82</cp:revision>
  <cp:lastPrinted>2025-01-30T07:00:00Z</cp:lastPrinted>
  <dcterms:created xsi:type="dcterms:W3CDTF">2025-01-29T13:04:00Z</dcterms:created>
  <dcterms:modified xsi:type="dcterms:W3CDTF">2025-02-10T09:12:00Z</dcterms:modified>
</cp:coreProperties>
</file>