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580B2" w14:textId="4BEB3C75" w:rsidR="003B0DAE" w:rsidRPr="003B0DAE" w:rsidRDefault="003B0DAE" w:rsidP="003B0DAE">
      <w:pPr>
        <w:spacing w:after="200" w:line="276" w:lineRule="auto"/>
        <w:jc w:val="center"/>
        <w:rPr>
          <w:rFonts w:eastAsia="Arial" w:cs="Times New Roman"/>
          <w:b/>
          <w:bCs/>
          <w:i/>
          <w:iCs/>
          <w:sz w:val="22"/>
          <w:szCs w:val="22"/>
        </w:rPr>
      </w:pPr>
      <w:r w:rsidRPr="003B0DAE">
        <w:rPr>
          <w:rFonts w:eastAsia="Arial" w:cs="Times New Roman"/>
          <w:b/>
          <w:bCs/>
          <w:i/>
          <w:iCs/>
          <w:sz w:val="22"/>
          <w:szCs w:val="22"/>
        </w:rPr>
        <w:t xml:space="preserve">Bitte bis zum </w:t>
      </w:r>
      <w:r w:rsidR="003942B2">
        <w:rPr>
          <w:rFonts w:eastAsia="Arial" w:cs="Times New Roman"/>
          <w:b/>
          <w:bCs/>
          <w:i/>
          <w:iCs/>
          <w:sz w:val="22"/>
          <w:szCs w:val="22"/>
        </w:rPr>
        <w:t>31</w:t>
      </w:r>
      <w:r w:rsidRPr="003B0DAE">
        <w:rPr>
          <w:rFonts w:eastAsia="Arial" w:cs="Times New Roman"/>
          <w:b/>
          <w:bCs/>
          <w:i/>
          <w:iCs/>
          <w:sz w:val="22"/>
          <w:szCs w:val="22"/>
        </w:rPr>
        <w:t xml:space="preserve">. </w:t>
      </w:r>
      <w:r w:rsidR="003942B2">
        <w:rPr>
          <w:rFonts w:eastAsia="Arial" w:cs="Times New Roman"/>
          <w:b/>
          <w:bCs/>
          <w:i/>
          <w:iCs/>
          <w:sz w:val="22"/>
          <w:szCs w:val="22"/>
        </w:rPr>
        <w:t>Okto</w:t>
      </w:r>
      <w:r w:rsidRPr="003B0DAE">
        <w:rPr>
          <w:rFonts w:eastAsia="Arial" w:cs="Times New Roman"/>
          <w:b/>
          <w:bCs/>
          <w:i/>
          <w:iCs/>
          <w:sz w:val="22"/>
          <w:szCs w:val="22"/>
        </w:rPr>
        <w:t>ber 20</w:t>
      </w:r>
      <w:r>
        <w:rPr>
          <w:rFonts w:eastAsia="Arial" w:cs="Times New Roman"/>
          <w:b/>
          <w:bCs/>
          <w:i/>
          <w:iCs/>
          <w:sz w:val="22"/>
          <w:szCs w:val="22"/>
        </w:rPr>
        <w:t>2</w:t>
      </w:r>
      <w:r w:rsidR="00763414">
        <w:rPr>
          <w:rFonts w:eastAsia="Arial" w:cs="Times New Roman"/>
          <w:b/>
          <w:bCs/>
          <w:i/>
          <w:iCs/>
          <w:sz w:val="22"/>
          <w:szCs w:val="22"/>
        </w:rPr>
        <w:t>4</w:t>
      </w:r>
      <w:r w:rsidRPr="003B0DAE">
        <w:rPr>
          <w:rFonts w:eastAsia="Arial" w:cs="Times New Roman"/>
          <w:b/>
          <w:bCs/>
          <w:i/>
          <w:iCs/>
          <w:sz w:val="22"/>
          <w:szCs w:val="22"/>
        </w:rPr>
        <w:t xml:space="preserve"> an den vtw zurücksenden</w:t>
      </w:r>
    </w:p>
    <w:p w14:paraId="6C16FA10" w14:textId="77777777" w:rsidR="003B0DAE" w:rsidRPr="003B0DAE" w:rsidRDefault="003B0DAE" w:rsidP="003B0DAE">
      <w:pPr>
        <w:spacing w:after="0" w:line="240" w:lineRule="auto"/>
        <w:jc w:val="both"/>
        <w:rPr>
          <w:rFonts w:eastAsia="Times New Roman" w:cs="Times New Roman"/>
          <w:sz w:val="22"/>
          <w:lang w:eastAsia="de-DE"/>
        </w:rPr>
      </w:pPr>
    </w:p>
    <w:p w14:paraId="48842A01" w14:textId="77777777" w:rsidR="003B0DAE" w:rsidRPr="003B0DAE" w:rsidRDefault="003B0DAE" w:rsidP="003B0DAE">
      <w:pPr>
        <w:spacing w:after="0" w:line="240" w:lineRule="auto"/>
        <w:jc w:val="both"/>
        <w:rPr>
          <w:rFonts w:eastAsia="Times New Roman" w:cs="Times New Roman"/>
          <w:sz w:val="22"/>
          <w:lang w:eastAsia="de-DE"/>
        </w:rPr>
      </w:pPr>
    </w:p>
    <w:p w14:paraId="114C3B50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bCs/>
          <w:i/>
          <w:iCs/>
          <w:sz w:val="22"/>
          <w:szCs w:val="22"/>
        </w:rPr>
      </w:pPr>
    </w:p>
    <w:p w14:paraId="348C2276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3B0DAE">
        <w:rPr>
          <w:rFonts w:eastAsia="Arial" w:cs="Times New Roman"/>
          <w:i/>
          <w:iCs/>
          <w:sz w:val="22"/>
          <w:szCs w:val="22"/>
        </w:rPr>
        <w:t>Verband Thüringer Wohnungs- und</w:t>
      </w:r>
    </w:p>
    <w:p w14:paraId="7F12DDC2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3B0DAE">
        <w:rPr>
          <w:rFonts w:eastAsia="Arial" w:cs="Times New Roman"/>
          <w:i/>
          <w:iCs/>
          <w:sz w:val="22"/>
          <w:szCs w:val="22"/>
        </w:rPr>
        <w:t>Immobilienwirtschaft e.V.</w:t>
      </w:r>
    </w:p>
    <w:p w14:paraId="70507235" w14:textId="77777777" w:rsidR="004B381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3B0DAE">
        <w:rPr>
          <w:rFonts w:eastAsia="Arial" w:cs="Times New Roman"/>
          <w:i/>
          <w:iCs/>
          <w:sz w:val="22"/>
          <w:szCs w:val="22"/>
        </w:rPr>
        <w:t xml:space="preserve">Prüfung </w:t>
      </w:r>
    </w:p>
    <w:p w14:paraId="4CEBE134" w14:textId="0DA0E3D1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3B0DAE">
        <w:rPr>
          <w:rFonts w:eastAsia="Arial" w:cs="Times New Roman"/>
          <w:i/>
          <w:iCs/>
          <w:sz w:val="22"/>
          <w:szCs w:val="22"/>
        </w:rPr>
        <w:t>Regierungsstraße 58</w:t>
      </w:r>
    </w:p>
    <w:p w14:paraId="102B63C2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3B0DAE">
        <w:rPr>
          <w:rFonts w:eastAsia="Arial" w:cs="Times New Roman"/>
          <w:i/>
          <w:iCs/>
          <w:sz w:val="22"/>
          <w:szCs w:val="22"/>
        </w:rPr>
        <w:t>99084 Erfurt</w:t>
      </w:r>
    </w:p>
    <w:p w14:paraId="6B9EB11C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41FD82BF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358DB1BA" w14:textId="77777777" w:rsidR="003B0DAE" w:rsidRPr="003B0DAE" w:rsidRDefault="003B0DAE" w:rsidP="003B0DAE">
      <w:pPr>
        <w:spacing w:after="200" w:line="240" w:lineRule="auto"/>
        <w:contextualSpacing/>
        <w:jc w:val="right"/>
        <w:rPr>
          <w:rFonts w:eastAsia="Arial" w:cs="Times New Roman"/>
          <w:i/>
          <w:iCs/>
          <w:sz w:val="22"/>
          <w:szCs w:val="22"/>
        </w:rPr>
      </w:pPr>
      <w:r w:rsidRPr="003B0DAE">
        <w:rPr>
          <w:rFonts w:eastAsia="Arial" w:cs="Times New Roman"/>
          <w:i/>
          <w:iCs/>
          <w:sz w:val="22"/>
          <w:szCs w:val="22"/>
        </w:rPr>
        <w:t>- Datum -</w:t>
      </w:r>
    </w:p>
    <w:p w14:paraId="17E80C55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3C2DD19A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44CEC7AD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4BCF23AB" w14:textId="0434A60E" w:rsidR="003B0DAE" w:rsidRPr="003B0DAE" w:rsidRDefault="003B0DAE" w:rsidP="003B0DAE">
      <w:pPr>
        <w:spacing w:after="0" w:line="240" w:lineRule="auto"/>
        <w:rPr>
          <w:rFonts w:eastAsia="Arial" w:cs="Times New Roman"/>
          <w:b/>
          <w:i/>
          <w:iCs/>
          <w:sz w:val="22"/>
          <w:szCs w:val="22"/>
        </w:rPr>
      </w:pPr>
      <w:r w:rsidRPr="003B0DAE">
        <w:rPr>
          <w:rFonts w:eastAsia="Arial" w:cs="Times New Roman"/>
          <w:b/>
          <w:i/>
          <w:iCs/>
          <w:sz w:val="22"/>
          <w:szCs w:val="22"/>
        </w:rPr>
        <w:t>1. Gesetzliche Prüfung nach § 53 GenG im Jahr 202</w:t>
      </w:r>
      <w:r w:rsidR="00763414">
        <w:rPr>
          <w:rFonts w:eastAsia="Arial" w:cs="Times New Roman"/>
          <w:b/>
          <w:i/>
          <w:iCs/>
          <w:sz w:val="22"/>
          <w:szCs w:val="22"/>
        </w:rPr>
        <w:t>5</w:t>
      </w:r>
    </w:p>
    <w:p w14:paraId="64983F92" w14:textId="77777777" w:rsidR="003B0DAE" w:rsidRPr="003B0DAE" w:rsidRDefault="003B0DAE" w:rsidP="003B0DAE">
      <w:pPr>
        <w:spacing w:after="0" w:line="240" w:lineRule="auto"/>
        <w:ind w:left="360"/>
        <w:rPr>
          <w:rFonts w:eastAsia="Arial" w:cs="Times New Roman"/>
          <w:b/>
          <w:i/>
          <w:iCs/>
          <w:sz w:val="22"/>
          <w:szCs w:val="22"/>
        </w:rPr>
      </w:pPr>
    </w:p>
    <w:p w14:paraId="3FCBA5D2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435"/>
        <w:gridCol w:w="2809"/>
      </w:tblGrid>
      <w:tr w:rsidR="003B0DAE" w:rsidRPr="003B0DAE" w14:paraId="254EFE82" w14:textId="77777777" w:rsidTr="003B0DAE">
        <w:tc>
          <w:tcPr>
            <w:tcW w:w="3850" w:type="dxa"/>
            <w:hideMark/>
          </w:tcPr>
          <w:p w14:paraId="02A544B5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3B0DAE">
              <w:rPr>
                <w:rFonts w:eastAsia="Arial" w:cs="Times New Roman"/>
                <w:i/>
                <w:iCs/>
                <w:sz w:val="22"/>
                <w:szCs w:val="22"/>
              </w:rPr>
              <w:t>Voraussichtlich prüfungsbereit ab</w:t>
            </w:r>
            <w:r w:rsidRPr="003B0DAE">
              <w:rPr>
                <w:rFonts w:eastAsia="Arial" w:cs="Times New Roman"/>
                <w:i/>
                <w:iCs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2457" w:type="dxa"/>
          </w:tcPr>
          <w:p w14:paraId="194977F2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8B4E7E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</w:p>
        </w:tc>
      </w:tr>
    </w:tbl>
    <w:p w14:paraId="628686AF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5DE9D006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3B0DAE">
        <w:rPr>
          <w:rFonts w:eastAsia="Arial" w:cs="Times New Roman"/>
          <w:i/>
          <w:iCs/>
          <w:sz w:val="22"/>
          <w:szCs w:val="22"/>
        </w:rPr>
        <w:t xml:space="preserve">Erweiterung der genossenschaftlichen Pflichtprüfung gemäß </w:t>
      </w:r>
    </w:p>
    <w:p w14:paraId="6DDE57F5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3B0DAE">
        <w:rPr>
          <w:rFonts w:eastAsia="Arial" w:cs="Times New Roman"/>
          <w:i/>
          <w:iCs/>
          <w:sz w:val="22"/>
          <w:szCs w:val="22"/>
        </w:rPr>
        <w:t>§ 53 Abs. 1 GenG um die Prüfung des Jahresabschlusses</w:t>
      </w:r>
    </w:p>
    <w:p w14:paraId="05E153C9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3B0DAE">
        <w:rPr>
          <w:rFonts w:eastAsia="Arial" w:cs="Times New Roman"/>
          <w:i/>
          <w:iCs/>
          <w:sz w:val="22"/>
          <w:szCs w:val="22"/>
        </w:rPr>
        <w:t>gemäß § 53 Abs. 2 GenG</w:t>
      </w:r>
      <w:r w:rsidRPr="003B0DAE">
        <w:rPr>
          <w:rFonts w:eastAsia="Arial" w:cs="Times New Roman"/>
          <w:i/>
          <w:iCs/>
          <w:sz w:val="22"/>
          <w:szCs w:val="22"/>
        </w:rPr>
        <w:tab/>
      </w:r>
      <w:r w:rsidRPr="003B0DAE">
        <w:rPr>
          <w:rFonts w:eastAsia="Arial" w:cs="Times New Roman"/>
          <w:i/>
          <w:iCs/>
          <w:sz w:val="22"/>
          <w:szCs w:val="22"/>
        </w:rPr>
        <w:tab/>
      </w:r>
      <w:r w:rsidRPr="003B0DAE">
        <w:rPr>
          <w:rFonts w:eastAsia="Arial" w:cs="Times New Roman"/>
          <w:i/>
          <w:iCs/>
          <w:sz w:val="22"/>
          <w:szCs w:val="22"/>
        </w:rPr>
        <w:tab/>
      </w:r>
      <w:r w:rsidRPr="003B0DAE">
        <w:rPr>
          <w:rFonts w:eastAsia="Arial" w:cs="Times New Roman"/>
          <w:i/>
          <w:iCs/>
          <w:sz w:val="22"/>
          <w:szCs w:val="22"/>
        </w:rPr>
        <w:tab/>
      </w:r>
      <w:r w:rsidRPr="003B0DAE">
        <w:rPr>
          <w:rFonts w:eastAsia="Arial" w:cs="Times New Roman"/>
          <w:i/>
          <w:iCs/>
          <w:sz w:val="22"/>
          <w:szCs w:val="22"/>
        </w:rPr>
        <w:tab/>
      </w:r>
      <w:r w:rsidRPr="003B0DAE">
        <w:rPr>
          <w:rFonts w:eastAsia="Arial" w:cs="Times New Roman"/>
          <w:i/>
          <w:iCs/>
          <w:sz w:val="22"/>
          <w:szCs w:val="22"/>
        </w:rPr>
        <w:tab/>
      </w:r>
      <w:r w:rsidRPr="003B0DAE">
        <w:rPr>
          <w:rFonts w:eastAsia="Arial" w:cs="Times New Roman"/>
          <w:i/>
          <w:iCs/>
          <w:sz w:val="22"/>
          <w:szCs w:val="22"/>
        </w:rPr>
        <w:tab/>
      </w:r>
      <w:r w:rsidRPr="003B0DAE">
        <w:rPr>
          <w:rFonts w:eastAsia="Arial" w:cs="Times New Roman"/>
          <w:i/>
          <w:iCs/>
          <w:sz w:val="22"/>
          <w:szCs w:val="22"/>
        </w:rPr>
        <w:tab/>
        <w:t>ja/nein</w:t>
      </w:r>
    </w:p>
    <w:p w14:paraId="3057EA36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37C0E931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7EBED2E4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  <w:r w:rsidRPr="003B0DAE">
        <w:rPr>
          <w:rFonts w:eastAsia="Arial" w:cs="Times New Roman"/>
          <w:b/>
          <w:i/>
          <w:iCs/>
          <w:sz w:val="22"/>
          <w:szCs w:val="22"/>
        </w:rPr>
        <w:t>2. Sonderprüfungen</w:t>
      </w:r>
    </w:p>
    <w:p w14:paraId="79AD69B7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</w:p>
    <w:tbl>
      <w:tblPr>
        <w:tblW w:w="91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794"/>
      </w:tblGrid>
      <w:tr w:rsidR="003B0DAE" w:rsidRPr="003B0DAE" w14:paraId="1D965603" w14:textId="77777777" w:rsidTr="003B0DAE">
        <w:tc>
          <w:tcPr>
            <w:tcW w:w="6379" w:type="dxa"/>
            <w:hideMark/>
          </w:tcPr>
          <w:p w14:paraId="0CBD791C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3B0DAE">
              <w:rPr>
                <w:rFonts w:eastAsia="Arial" w:cs="Times New Roman"/>
                <w:i/>
                <w:iCs/>
                <w:sz w:val="22"/>
                <w:szCs w:val="22"/>
              </w:rPr>
              <w:t>2.1. Prüfung von Sanierungs- und Unternehmenskonzepten</w:t>
            </w:r>
          </w:p>
        </w:tc>
        <w:tc>
          <w:tcPr>
            <w:tcW w:w="2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DBE2BD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</w:p>
        </w:tc>
      </w:tr>
      <w:tr w:rsidR="003B0DAE" w:rsidRPr="003B0DAE" w14:paraId="17657613" w14:textId="77777777" w:rsidTr="003B0DAE">
        <w:tc>
          <w:tcPr>
            <w:tcW w:w="6379" w:type="dxa"/>
            <w:hideMark/>
          </w:tcPr>
          <w:p w14:paraId="2B6E7367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3B0DAE">
              <w:rPr>
                <w:rFonts w:eastAsia="Arial" w:cs="Times New Roman"/>
                <w:i/>
                <w:iCs/>
                <w:sz w:val="22"/>
                <w:szCs w:val="22"/>
              </w:rPr>
              <w:t>2.2. MaBV-Prüfungen</w:t>
            </w:r>
          </w:p>
        </w:tc>
        <w:tc>
          <w:tcPr>
            <w:tcW w:w="2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4E06BE" w14:textId="77777777" w:rsidR="003B0DAE" w:rsidRPr="003B0DAE" w:rsidRDefault="003B0DAE" w:rsidP="003B0DA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3B0DAE" w:rsidRPr="003B0DAE" w14:paraId="4F0F4AB8" w14:textId="77777777" w:rsidTr="003B0DAE">
        <w:tc>
          <w:tcPr>
            <w:tcW w:w="6379" w:type="dxa"/>
            <w:hideMark/>
          </w:tcPr>
          <w:p w14:paraId="2A6F8295" w14:textId="77777777" w:rsidR="003B0DAE" w:rsidRPr="003B0DAE" w:rsidRDefault="003B0DAE" w:rsidP="003B0DAE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3B0DAE">
              <w:rPr>
                <w:rFonts w:eastAsia="Arial" w:cs="Times New Roman"/>
                <w:i/>
                <w:iCs/>
                <w:sz w:val="22"/>
                <w:szCs w:val="22"/>
              </w:rPr>
              <w:t>.Prüfungen im Auftrag des Aufsichtsrates</w:t>
            </w:r>
          </w:p>
        </w:tc>
        <w:tc>
          <w:tcPr>
            <w:tcW w:w="2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F15324" w14:textId="77777777" w:rsidR="003B0DAE" w:rsidRPr="003B0DAE" w:rsidRDefault="003B0DAE" w:rsidP="003B0DA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3B0DAE" w:rsidRPr="003B0DAE" w14:paraId="40951796" w14:textId="77777777" w:rsidTr="003B0DAE">
        <w:tc>
          <w:tcPr>
            <w:tcW w:w="6379" w:type="dxa"/>
            <w:hideMark/>
          </w:tcPr>
          <w:p w14:paraId="18B248FE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3B0DAE">
              <w:rPr>
                <w:rFonts w:eastAsia="Arial" w:cs="Times New Roman"/>
                <w:i/>
                <w:iCs/>
                <w:sz w:val="22"/>
                <w:szCs w:val="22"/>
              </w:rPr>
              <w:t xml:space="preserve">2.4. Bezügebericht des Vorstandes, der Prokuristen und der </w:t>
            </w:r>
            <w:r w:rsidRPr="003B0DAE">
              <w:rPr>
                <w:rFonts w:eastAsia="Arial" w:cs="Times New Roman"/>
                <w:i/>
                <w:iCs/>
                <w:sz w:val="22"/>
                <w:szCs w:val="22"/>
              </w:rPr>
              <w:br/>
              <w:t xml:space="preserve">       Aufsichtsratsmitglieder</w:t>
            </w:r>
          </w:p>
        </w:tc>
        <w:tc>
          <w:tcPr>
            <w:tcW w:w="2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A6EB14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</w:p>
        </w:tc>
      </w:tr>
      <w:tr w:rsidR="003B0DAE" w:rsidRPr="003B0DAE" w14:paraId="17CD7421" w14:textId="77777777" w:rsidTr="003B0DAE">
        <w:tc>
          <w:tcPr>
            <w:tcW w:w="6379" w:type="dxa"/>
            <w:hideMark/>
          </w:tcPr>
          <w:p w14:paraId="32B6AD9C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3B0DAE">
              <w:rPr>
                <w:rFonts w:eastAsia="Arial" w:cs="Times New Roman"/>
                <w:i/>
                <w:iCs/>
                <w:sz w:val="22"/>
                <w:szCs w:val="22"/>
              </w:rPr>
              <w:t>2.5. Risikomanagementsystem</w:t>
            </w:r>
          </w:p>
        </w:tc>
        <w:tc>
          <w:tcPr>
            <w:tcW w:w="27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2F0487" w14:textId="77777777" w:rsidR="003B0DAE" w:rsidRPr="003B0DAE" w:rsidRDefault="003B0DAE" w:rsidP="003B0DA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3B0DAE" w:rsidRPr="003B0DAE" w14:paraId="38D4AFD9" w14:textId="77777777" w:rsidTr="003B0DAE">
        <w:tc>
          <w:tcPr>
            <w:tcW w:w="6379" w:type="dxa"/>
            <w:hideMark/>
          </w:tcPr>
          <w:p w14:paraId="3FECDB99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3B0DAE">
              <w:rPr>
                <w:rFonts w:eastAsia="Arial" w:cs="Times New Roman"/>
                <w:i/>
                <w:iCs/>
                <w:sz w:val="22"/>
                <w:szCs w:val="22"/>
              </w:rPr>
              <w:t>2.6. Wirtschaftlichkeitsberechnung von Investitionsmaßnahmen</w:t>
            </w:r>
          </w:p>
        </w:tc>
        <w:tc>
          <w:tcPr>
            <w:tcW w:w="2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B14C9A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</w:p>
        </w:tc>
      </w:tr>
      <w:tr w:rsidR="003B0DAE" w:rsidRPr="003B0DAE" w14:paraId="7459856B" w14:textId="77777777" w:rsidTr="003B0DAE">
        <w:tc>
          <w:tcPr>
            <w:tcW w:w="6379" w:type="dxa"/>
            <w:hideMark/>
          </w:tcPr>
          <w:p w14:paraId="526AF411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  <w:r w:rsidRPr="003B0DAE">
              <w:rPr>
                <w:rFonts w:eastAsia="Arial" w:cs="Times New Roman"/>
                <w:i/>
                <w:iCs/>
                <w:sz w:val="22"/>
                <w:szCs w:val="22"/>
              </w:rPr>
              <w:t>2.7. Sonstiges</w:t>
            </w:r>
          </w:p>
        </w:tc>
        <w:tc>
          <w:tcPr>
            <w:tcW w:w="2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222104" w14:textId="77777777" w:rsidR="003B0DAE" w:rsidRPr="003B0DAE" w:rsidRDefault="003B0DAE" w:rsidP="003B0DAE">
            <w:pPr>
              <w:spacing w:after="200" w:line="240" w:lineRule="auto"/>
              <w:contextualSpacing/>
              <w:rPr>
                <w:rFonts w:eastAsia="Arial" w:cs="Times New Roman"/>
                <w:i/>
                <w:iCs/>
                <w:sz w:val="22"/>
                <w:szCs w:val="22"/>
              </w:rPr>
            </w:pPr>
          </w:p>
        </w:tc>
      </w:tr>
    </w:tbl>
    <w:p w14:paraId="29605A86" w14:textId="77777777" w:rsidR="003B0DAE" w:rsidRPr="003B0DAE" w:rsidRDefault="003B0DAE" w:rsidP="003B0DAE">
      <w:pPr>
        <w:spacing w:after="0" w:line="240" w:lineRule="auto"/>
        <w:rPr>
          <w:rFonts w:eastAsia="Times New Roman" w:cs="Times New Roman"/>
          <w:bCs/>
          <w:sz w:val="22"/>
          <w:lang w:eastAsia="de-DE"/>
        </w:rPr>
      </w:pPr>
    </w:p>
    <w:p w14:paraId="707D9BDF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</w:p>
    <w:p w14:paraId="1DD1A802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  <w:r w:rsidRPr="003B0DAE">
        <w:rPr>
          <w:rFonts w:eastAsia="Arial" w:cs="Times New Roman"/>
          <w:b/>
          <w:i/>
          <w:iCs/>
          <w:sz w:val="22"/>
          <w:szCs w:val="22"/>
        </w:rPr>
        <w:t>3. Gewünschte Beratungsleistungen</w:t>
      </w:r>
    </w:p>
    <w:p w14:paraId="0F272115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</w:p>
    <w:p w14:paraId="6B2CD9A0" w14:textId="77777777" w:rsidR="003B0DAE" w:rsidRPr="003B0DAE" w:rsidRDefault="003B0DAE" w:rsidP="003B0DAE">
      <w:pPr>
        <w:spacing w:after="0" w:line="240" w:lineRule="auto"/>
        <w:rPr>
          <w:rFonts w:eastAsia="Times New Roman" w:cs="Times New Roman"/>
          <w:bCs/>
          <w:sz w:val="22"/>
          <w:lang w:eastAsia="de-DE"/>
        </w:rPr>
      </w:pPr>
      <w:r w:rsidRPr="003B0DAE">
        <w:rPr>
          <w:rFonts w:eastAsia="Times New Roman" w:cs="Times New Roman"/>
          <w:bCs/>
          <w:sz w:val="22"/>
          <w:lang w:eastAsia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A5B567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</w:p>
    <w:p w14:paraId="1A2D0803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b/>
          <w:i/>
          <w:iCs/>
          <w:sz w:val="22"/>
          <w:szCs w:val="22"/>
        </w:rPr>
      </w:pPr>
      <w:r w:rsidRPr="003B0DAE">
        <w:rPr>
          <w:rFonts w:eastAsia="Arial" w:cs="Times New Roman"/>
          <w:b/>
          <w:i/>
          <w:iCs/>
          <w:sz w:val="22"/>
          <w:szCs w:val="22"/>
        </w:rPr>
        <w:t>Bemerkungen der Wohnungsgenossenschaft:</w:t>
      </w:r>
    </w:p>
    <w:p w14:paraId="4C991B87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28C1EBFA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328698CF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</w:p>
    <w:p w14:paraId="70A0FF82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22"/>
          <w:szCs w:val="22"/>
        </w:rPr>
      </w:pPr>
      <w:r w:rsidRPr="003B0DAE">
        <w:rPr>
          <w:rFonts w:eastAsia="Arial" w:cs="Times New Roman"/>
          <w:i/>
          <w:iCs/>
          <w:sz w:val="22"/>
          <w:szCs w:val="22"/>
        </w:rPr>
        <w:t>......................................</w:t>
      </w:r>
    </w:p>
    <w:p w14:paraId="6B7714E9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i/>
          <w:iCs/>
          <w:sz w:val="16"/>
          <w:szCs w:val="22"/>
        </w:rPr>
      </w:pPr>
      <w:r w:rsidRPr="003B0DAE">
        <w:rPr>
          <w:rFonts w:eastAsia="Arial" w:cs="Times New Roman"/>
          <w:i/>
          <w:iCs/>
          <w:sz w:val="16"/>
          <w:szCs w:val="22"/>
        </w:rPr>
        <w:t>Firmenstempel/Unterschrift</w:t>
      </w:r>
    </w:p>
    <w:p w14:paraId="526A240E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b/>
          <w:i/>
          <w:iCs/>
          <w:szCs w:val="22"/>
        </w:rPr>
      </w:pPr>
    </w:p>
    <w:p w14:paraId="4CF61F34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b/>
          <w:i/>
          <w:iCs/>
          <w:szCs w:val="22"/>
        </w:rPr>
      </w:pPr>
    </w:p>
    <w:p w14:paraId="1917D9DF" w14:textId="77777777" w:rsidR="003B0DAE" w:rsidRPr="003B0DAE" w:rsidRDefault="003B0DAE" w:rsidP="003B0DAE">
      <w:pPr>
        <w:spacing w:after="200" w:line="240" w:lineRule="auto"/>
        <w:contextualSpacing/>
        <w:rPr>
          <w:rFonts w:eastAsia="Arial" w:cs="Times New Roman"/>
          <w:b/>
          <w:i/>
          <w:iCs/>
          <w:sz w:val="18"/>
          <w:szCs w:val="22"/>
        </w:rPr>
      </w:pPr>
      <w:r w:rsidRPr="003B0DAE">
        <w:rPr>
          <w:rFonts w:eastAsia="Arial" w:cs="Times New Roman"/>
          <w:b/>
          <w:i/>
          <w:iCs/>
          <w:sz w:val="18"/>
          <w:szCs w:val="22"/>
        </w:rPr>
        <w:t xml:space="preserve">Anmerkung des vtw: </w:t>
      </w:r>
    </w:p>
    <w:p w14:paraId="430DFA88" w14:textId="29DC7EE6" w:rsidR="003B0DAE" w:rsidRPr="003B0DAE" w:rsidRDefault="003B0DAE" w:rsidP="003B0DAE">
      <w:pPr>
        <w:tabs>
          <w:tab w:val="left" w:pos="142"/>
        </w:tabs>
        <w:spacing w:after="200" w:line="240" w:lineRule="auto"/>
        <w:contextualSpacing/>
        <w:rPr>
          <w:rFonts w:eastAsia="Arial" w:cs="Times New Roman"/>
          <w:sz w:val="22"/>
          <w:szCs w:val="22"/>
        </w:rPr>
      </w:pPr>
      <w:r w:rsidRPr="003B0DAE">
        <w:rPr>
          <w:rFonts w:eastAsia="Arial" w:cs="Times New Roman"/>
          <w:i/>
          <w:iCs/>
          <w:sz w:val="16"/>
          <w:szCs w:val="22"/>
        </w:rPr>
        <w:t>*)</w:t>
      </w:r>
      <w:r w:rsidRPr="003B0DAE">
        <w:rPr>
          <w:rFonts w:eastAsia="Arial" w:cs="Times New Roman"/>
          <w:i/>
          <w:iCs/>
          <w:sz w:val="16"/>
          <w:szCs w:val="22"/>
        </w:rPr>
        <w:tab/>
        <w:t xml:space="preserve">Die gemeldeten Termine werden als </w:t>
      </w:r>
      <w:r w:rsidRPr="003B0DAE">
        <w:rPr>
          <w:rFonts w:eastAsia="Arial" w:cs="Times New Roman"/>
          <w:b/>
          <w:i/>
          <w:iCs/>
          <w:sz w:val="16"/>
          <w:szCs w:val="22"/>
        </w:rPr>
        <w:t>Orientierungshilfe für die Prüfungsplanung</w:t>
      </w:r>
      <w:r w:rsidRPr="003B0DAE">
        <w:rPr>
          <w:rFonts w:eastAsia="Arial" w:cs="Times New Roman"/>
          <w:i/>
          <w:iCs/>
          <w:sz w:val="16"/>
          <w:szCs w:val="22"/>
        </w:rPr>
        <w:t xml:space="preserve"> des vtw genutzt. Eine termin- und zeitliche Einordnung der Prüfungsdurchführung erfolgt in den ersten drei Monaten im Kalenderjahr 202</w:t>
      </w:r>
      <w:r w:rsidR="00763414">
        <w:rPr>
          <w:rFonts w:eastAsia="Arial" w:cs="Times New Roman"/>
          <w:i/>
          <w:iCs/>
          <w:sz w:val="16"/>
          <w:szCs w:val="22"/>
        </w:rPr>
        <w:t>5</w:t>
      </w:r>
      <w:r w:rsidRPr="003B0DAE">
        <w:rPr>
          <w:rFonts w:eastAsia="Arial" w:cs="Times New Roman"/>
          <w:i/>
          <w:iCs/>
          <w:sz w:val="16"/>
          <w:szCs w:val="22"/>
        </w:rPr>
        <w:t>.</w:t>
      </w:r>
    </w:p>
    <w:p w14:paraId="6A49538E" w14:textId="77777777" w:rsidR="00254952" w:rsidRDefault="00254952"/>
    <w:sectPr w:rsidR="002549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A11E5"/>
    <w:multiLevelType w:val="multilevel"/>
    <w:tmpl w:val="6728CE1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524857853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AE"/>
    <w:rsid w:val="00254952"/>
    <w:rsid w:val="002D7283"/>
    <w:rsid w:val="00350926"/>
    <w:rsid w:val="003942B2"/>
    <w:rsid w:val="003B0DAE"/>
    <w:rsid w:val="00432953"/>
    <w:rsid w:val="004B381E"/>
    <w:rsid w:val="005B43C7"/>
    <w:rsid w:val="005C54D2"/>
    <w:rsid w:val="006E3CD9"/>
    <w:rsid w:val="00763414"/>
    <w:rsid w:val="00BE5D4C"/>
    <w:rsid w:val="00E8433C"/>
    <w:rsid w:val="00F1386F"/>
    <w:rsid w:val="00FB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E9C5"/>
  <w15:chartTrackingRefBased/>
  <w15:docId w15:val="{E77ADDFC-47FE-47A0-ABEB-4E6AC57C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Kliche, Tanja (Prüfung und Beratung)</dc:creator>
  <cp:keywords/>
  <dc:description/>
  <cp:lastModifiedBy>Tanja Kliche</cp:lastModifiedBy>
  <cp:revision>3</cp:revision>
  <cp:lastPrinted>2023-10-05T09:59:00Z</cp:lastPrinted>
  <dcterms:created xsi:type="dcterms:W3CDTF">2024-08-05T13:39:00Z</dcterms:created>
  <dcterms:modified xsi:type="dcterms:W3CDTF">2024-08-05T13:41:00Z</dcterms:modified>
</cp:coreProperties>
</file>