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610D" w14:textId="59A836AE" w:rsidR="000617F0" w:rsidRPr="000617F0" w:rsidRDefault="000617F0" w:rsidP="000617F0">
      <w:pPr>
        <w:rPr>
          <w:rFonts w:ascii="Arial" w:eastAsia="Times New Roman" w:hAnsi="Arial" w:cs="Arial"/>
          <w:b/>
          <w:sz w:val="28"/>
          <w:szCs w:val="28"/>
          <w:lang w:eastAsia="de-DE"/>
        </w:rPr>
      </w:pPr>
      <w:r w:rsidRPr="000617F0">
        <w:rPr>
          <w:rFonts w:ascii="Arial" w:eastAsia="Times New Roman" w:hAnsi="Arial" w:cs="Arial"/>
          <w:b/>
          <w:sz w:val="28"/>
          <w:szCs w:val="28"/>
          <w:lang w:eastAsia="de-DE"/>
        </w:rPr>
        <w:t xml:space="preserve">Textbausteine für den Geschäftsbericht </w:t>
      </w:r>
      <w:r w:rsidR="00B475F4" w:rsidRPr="000617F0">
        <w:rPr>
          <w:rFonts w:ascii="Arial" w:eastAsia="Times New Roman" w:hAnsi="Arial" w:cs="Arial"/>
          <w:b/>
          <w:sz w:val="28"/>
          <w:szCs w:val="28"/>
          <w:lang w:eastAsia="de-DE"/>
        </w:rPr>
        <w:t>202</w:t>
      </w:r>
      <w:r w:rsidR="00B475F4">
        <w:rPr>
          <w:rFonts w:ascii="Arial" w:eastAsia="Times New Roman" w:hAnsi="Arial" w:cs="Arial"/>
          <w:b/>
          <w:sz w:val="28"/>
          <w:szCs w:val="28"/>
          <w:lang w:eastAsia="de-DE"/>
        </w:rPr>
        <w:t>5</w:t>
      </w:r>
      <w:r w:rsidR="00B475F4" w:rsidRPr="000617F0">
        <w:rPr>
          <w:rFonts w:ascii="Arial" w:eastAsia="Times New Roman" w:hAnsi="Arial" w:cs="Arial"/>
          <w:b/>
          <w:sz w:val="28"/>
          <w:szCs w:val="28"/>
          <w:lang w:eastAsia="de-DE"/>
        </w:rPr>
        <w:t xml:space="preserve"> </w:t>
      </w:r>
      <w:r w:rsidRPr="000617F0">
        <w:rPr>
          <w:rFonts w:ascii="Arial" w:eastAsia="Times New Roman" w:hAnsi="Arial" w:cs="Arial"/>
          <w:b/>
          <w:sz w:val="28"/>
          <w:szCs w:val="28"/>
          <w:lang w:eastAsia="de-DE"/>
        </w:rPr>
        <w:t xml:space="preserve">– Stand </w:t>
      </w:r>
      <w:r w:rsidR="00E13A0A">
        <w:rPr>
          <w:rFonts w:ascii="Arial" w:eastAsia="Times New Roman" w:hAnsi="Arial" w:cs="Arial"/>
          <w:b/>
          <w:sz w:val="28"/>
          <w:szCs w:val="28"/>
          <w:lang w:eastAsia="de-DE"/>
        </w:rPr>
        <w:t>April</w:t>
      </w:r>
      <w:r w:rsidRPr="000617F0">
        <w:rPr>
          <w:rFonts w:ascii="Arial" w:eastAsia="Times New Roman" w:hAnsi="Arial" w:cs="Arial"/>
          <w:b/>
          <w:sz w:val="28"/>
          <w:szCs w:val="28"/>
          <w:lang w:eastAsia="de-DE"/>
        </w:rPr>
        <w:t xml:space="preserve"> </w:t>
      </w:r>
      <w:r w:rsidR="00B475F4" w:rsidRPr="000617F0">
        <w:rPr>
          <w:rFonts w:ascii="Arial" w:eastAsia="Times New Roman" w:hAnsi="Arial" w:cs="Arial"/>
          <w:b/>
          <w:sz w:val="28"/>
          <w:szCs w:val="28"/>
          <w:lang w:eastAsia="de-DE"/>
        </w:rPr>
        <w:t>202</w:t>
      </w:r>
      <w:r w:rsidR="00B475F4">
        <w:rPr>
          <w:rFonts w:ascii="Arial" w:eastAsia="Times New Roman" w:hAnsi="Arial" w:cs="Arial"/>
          <w:b/>
          <w:sz w:val="28"/>
          <w:szCs w:val="28"/>
          <w:lang w:eastAsia="de-DE"/>
        </w:rPr>
        <w:t>6</w:t>
      </w:r>
    </w:p>
    <w:p w14:paraId="6BE6818B" w14:textId="77777777" w:rsidR="000617F0" w:rsidRPr="000617F0" w:rsidRDefault="000617F0" w:rsidP="000617F0">
      <w:pPr>
        <w:rPr>
          <w:rFonts w:ascii="Arial" w:eastAsia="Times New Roman" w:hAnsi="Arial" w:cs="Arial"/>
          <w:sz w:val="22"/>
          <w:lang w:eastAsia="de-DE"/>
        </w:rPr>
      </w:pPr>
    </w:p>
    <w:p w14:paraId="25F458A6" w14:textId="25CEE52C" w:rsidR="000617F0" w:rsidRPr="00632DCC" w:rsidRDefault="000617F0" w:rsidP="000617F0">
      <w:pPr>
        <w:rPr>
          <w:rFonts w:ascii="Arial" w:eastAsia="Times New Roman" w:hAnsi="Arial" w:cs="Arial"/>
          <w:sz w:val="22"/>
          <w:lang w:eastAsia="de-DE"/>
        </w:rPr>
      </w:pPr>
      <w:r w:rsidRPr="00632DCC">
        <w:rPr>
          <w:rFonts w:ascii="Arial" w:eastAsia="Times New Roman" w:hAnsi="Arial" w:cs="Arial"/>
          <w:sz w:val="22"/>
          <w:lang w:eastAsia="de-DE"/>
        </w:rPr>
        <w:t xml:space="preserve">Nachfolgend stellen wir – wie in den Vorjahren – interessierten Wohnungsunternehmen eine erste Fassung der Textbausteine für die Erstellung des allgemeinen Geschäftsberichtes zur Verfügung. Diese beinhalten zunächst aktuelle Informationen zur wirtschaftlichen Lage in Deutschland und in Thüringen mit dem Wissensstand von </w:t>
      </w:r>
      <w:r w:rsidR="00B475F4">
        <w:rPr>
          <w:rFonts w:ascii="Arial" w:eastAsia="Times New Roman" w:hAnsi="Arial" w:cs="Arial"/>
          <w:sz w:val="22"/>
          <w:lang w:eastAsia="de-DE"/>
        </w:rPr>
        <w:t xml:space="preserve">April </w:t>
      </w:r>
      <w:r w:rsidR="00B475F4" w:rsidRPr="00632DCC">
        <w:rPr>
          <w:rFonts w:ascii="Arial" w:eastAsia="Times New Roman" w:hAnsi="Arial" w:cs="Arial"/>
          <w:sz w:val="22"/>
          <w:lang w:eastAsia="de-DE"/>
        </w:rPr>
        <w:t>202</w:t>
      </w:r>
      <w:r w:rsidR="00B475F4">
        <w:rPr>
          <w:rFonts w:ascii="Arial" w:eastAsia="Times New Roman" w:hAnsi="Arial" w:cs="Arial"/>
          <w:sz w:val="22"/>
          <w:lang w:eastAsia="de-DE"/>
        </w:rPr>
        <w:t>6</w:t>
      </w:r>
      <w:r w:rsidRPr="00632DCC">
        <w:rPr>
          <w:rFonts w:ascii="Arial" w:eastAsia="Times New Roman" w:hAnsi="Arial" w:cs="Arial"/>
          <w:sz w:val="22"/>
          <w:lang w:eastAsia="de-DE"/>
        </w:rPr>
        <w:t xml:space="preserve">. Dabei fanden im </w:t>
      </w:r>
      <w:r w:rsidRPr="00632DCC">
        <w:rPr>
          <w:rFonts w:ascii="Arial" w:eastAsia="Times New Roman" w:hAnsi="Arial" w:cs="Arial"/>
          <w:spacing w:val="4"/>
          <w:sz w:val="22"/>
          <w:lang w:eastAsia="de-DE"/>
        </w:rPr>
        <w:t xml:space="preserve">Wesentlichen öffentlich zugängliche Quellen, wie Veröffentlichungen des Statistischen Bundesamtes – </w:t>
      </w:r>
      <w:hyperlink r:id="rId8" w:history="1">
        <w:r w:rsidRPr="00632DCC">
          <w:rPr>
            <w:rFonts w:ascii="Arial" w:eastAsia="Times New Roman" w:hAnsi="Arial" w:cs="Arial"/>
            <w:color w:val="467886" w:themeColor="hyperlink"/>
            <w:spacing w:val="4"/>
            <w:sz w:val="22"/>
            <w:u w:val="single"/>
            <w:lang w:eastAsia="de-DE"/>
          </w:rPr>
          <w:t>www.destatis.de</w:t>
        </w:r>
      </w:hyperlink>
      <w:r w:rsidRPr="00632DCC">
        <w:rPr>
          <w:rFonts w:ascii="Arial" w:eastAsia="Times New Roman" w:hAnsi="Arial" w:cs="Arial"/>
          <w:spacing w:val="4"/>
          <w:sz w:val="22"/>
          <w:lang w:eastAsia="de-DE"/>
        </w:rPr>
        <w:t xml:space="preserve"> – und des Thüringer Landesamtes für Statistik – </w:t>
      </w:r>
      <w:hyperlink r:id="rId9" w:history="1">
        <w:r w:rsidRPr="00632DCC">
          <w:rPr>
            <w:rFonts w:ascii="Arial" w:eastAsia="Times New Roman" w:hAnsi="Arial" w:cs="Arial"/>
            <w:color w:val="467886" w:themeColor="hyperlink"/>
            <w:spacing w:val="4"/>
            <w:sz w:val="22"/>
            <w:u w:val="single"/>
            <w:lang w:eastAsia="de-DE"/>
          </w:rPr>
          <w:t>www.tls.thueringen.de</w:t>
        </w:r>
      </w:hyperlink>
      <w:r w:rsidRPr="00632DCC">
        <w:rPr>
          <w:rFonts w:ascii="Arial" w:eastAsia="Times New Roman" w:hAnsi="Arial" w:cs="Arial"/>
          <w:spacing w:val="4"/>
          <w:sz w:val="22"/>
          <w:lang w:eastAsia="de-DE"/>
        </w:rPr>
        <w:t xml:space="preserve"> – </w:t>
      </w:r>
      <w:r w:rsidRPr="00632DCC">
        <w:rPr>
          <w:rFonts w:ascii="Arial" w:eastAsia="Times New Roman" w:hAnsi="Arial" w:cs="Arial"/>
          <w:sz w:val="22"/>
          <w:lang w:eastAsia="de-DE"/>
        </w:rPr>
        <w:t>Verwendung.</w:t>
      </w:r>
    </w:p>
    <w:p w14:paraId="29F9A508" w14:textId="77777777" w:rsidR="000617F0" w:rsidRPr="00632DCC" w:rsidRDefault="000617F0" w:rsidP="000617F0">
      <w:pPr>
        <w:rPr>
          <w:rFonts w:ascii="Arial" w:eastAsia="Times New Roman" w:hAnsi="Arial" w:cs="Arial"/>
          <w:sz w:val="22"/>
          <w:lang w:eastAsia="de-DE"/>
        </w:rPr>
      </w:pPr>
    </w:p>
    <w:p w14:paraId="5A6650FF" w14:textId="2432979B" w:rsidR="00E13A0A" w:rsidRPr="00632DCC" w:rsidRDefault="00E13A0A" w:rsidP="00E13A0A">
      <w:pPr>
        <w:rPr>
          <w:rFonts w:ascii="Arial" w:eastAsia="Times New Roman" w:hAnsi="Arial" w:cs="Arial"/>
          <w:sz w:val="22"/>
          <w:lang w:eastAsia="de-DE"/>
        </w:rPr>
      </w:pPr>
      <w:r w:rsidRPr="00632DCC">
        <w:rPr>
          <w:rFonts w:ascii="Arial" w:eastAsia="Times New Roman" w:hAnsi="Arial" w:cs="Arial"/>
          <w:sz w:val="22"/>
          <w:lang w:eastAsia="de-DE"/>
        </w:rPr>
        <w:t>Zur Darstellung der Branchenentwicklung werden die derzeit vorliegenden Zahlenwerke der Jahresstatistik des GdW und der Regionalverbände zum 31.12.</w:t>
      </w:r>
      <w:r w:rsidR="00B475F4" w:rsidRPr="00632DCC">
        <w:rPr>
          <w:rFonts w:ascii="Arial" w:eastAsia="Times New Roman" w:hAnsi="Arial" w:cs="Arial"/>
          <w:sz w:val="22"/>
          <w:lang w:eastAsia="de-DE"/>
        </w:rPr>
        <w:t>202</w:t>
      </w:r>
      <w:r w:rsidR="00B475F4">
        <w:rPr>
          <w:rFonts w:ascii="Arial" w:eastAsia="Times New Roman" w:hAnsi="Arial" w:cs="Arial"/>
          <w:sz w:val="22"/>
          <w:lang w:eastAsia="de-DE"/>
        </w:rPr>
        <w:t>5</w:t>
      </w:r>
      <w:r w:rsidR="00B475F4" w:rsidRPr="00632DCC">
        <w:rPr>
          <w:rFonts w:ascii="Arial" w:eastAsia="Times New Roman" w:hAnsi="Arial" w:cs="Arial"/>
          <w:sz w:val="22"/>
          <w:lang w:eastAsia="de-DE"/>
        </w:rPr>
        <w:t xml:space="preserve"> </w:t>
      </w:r>
      <w:r w:rsidRPr="00632DCC">
        <w:rPr>
          <w:rFonts w:ascii="Arial" w:eastAsia="Times New Roman" w:hAnsi="Arial" w:cs="Arial"/>
          <w:sz w:val="22"/>
          <w:lang w:eastAsia="de-DE"/>
        </w:rPr>
        <w:t xml:space="preserve">sowie die </w:t>
      </w:r>
      <w:r>
        <w:rPr>
          <w:rFonts w:ascii="Arial" w:eastAsia="Times New Roman" w:hAnsi="Arial" w:cs="Arial"/>
          <w:sz w:val="22"/>
          <w:lang w:eastAsia="de-DE"/>
        </w:rPr>
        <w:t xml:space="preserve">aktuellen </w:t>
      </w:r>
      <w:r w:rsidRPr="00632DCC">
        <w:rPr>
          <w:rFonts w:ascii="Arial" w:eastAsia="Times New Roman" w:hAnsi="Arial" w:cs="Arial"/>
          <w:sz w:val="22"/>
          <w:lang w:eastAsia="de-DE"/>
        </w:rPr>
        <w:t>Ergebnisse des Betriebsvergleichs ebenfalls zum 31.12.</w:t>
      </w:r>
      <w:r w:rsidR="00B475F4" w:rsidRPr="00632DCC">
        <w:rPr>
          <w:rFonts w:ascii="Arial" w:eastAsia="Times New Roman" w:hAnsi="Arial" w:cs="Arial"/>
          <w:sz w:val="22"/>
          <w:lang w:eastAsia="de-DE"/>
        </w:rPr>
        <w:t>202</w:t>
      </w:r>
      <w:r w:rsidR="00B475F4">
        <w:rPr>
          <w:rFonts w:ascii="Arial" w:eastAsia="Times New Roman" w:hAnsi="Arial" w:cs="Arial"/>
          <w:sz w:val="22"/>
          <w:lang w:eastAsia="de-DE"/>
        </w:rPr>
        <w:t>4</w:t>
      </w:r>
      <w:r w:rsidR="00B475F4" w:rsidRPr="00632DCC">
        <w:rPr>
          <w:rFonts w:ascii="Arial" w:eastAsia="Times New Roman" w:hAnsi="Arial" w:cs="Arial"/>
          <w:sz w:val="22"/>
          <w:lang w:eastAsia="de-DE"/>
        </w:rPr>
        <w:t xml:space="preserve"> </w:t>
      </w:r>
      <w:r w:rsidRPr="00632DCC">
        <w:rPr>
          <w:rFonts w:ascii="Arial" w:eastAsia="Times New Roman" w:hAnsi="Arial" w:cs="Arial"/>
          <w:sz w:val="22"/>
          <w:lang w:eastAsia="de-DE"/>
        </w:rPr>
        <w:t>herangezogen. Die Daten sollten durch Angaben aus der konkreten Kommune bzw. Gemeinde und aus dem Unternehmen individuell ergänzt werden.</w:t>
      </w:r>
    </w:p>
    <w:p w14:paraId="243FEB7A" w14:textId="77777777" w:rsidR="000617F0" w:rsidRPr="00E31491" w:rsidRDefault="000617F0" w:rsidP="000617F0">
      <w:pPr>
        <w:rPr>
          <w:rFonts w:ascii="Arial" w:hAnsi="Arial" w:cs="Arial"/>
          <w:sz w:val="22"/>
        </w:rPr>
      </w:pPr>
    </w:p>
    <w:p w14:paraId="43397A91" w14:textId="77777777" w:rsidR="000617F0" w:rsidRPr="00E31491" w:rsidRDefault="000617F0" w:rsidP="000617F0">
      <w:pPr>
        <w:rPr>
          <w:rFonts w:ascii="Arial" w:eastAsia="Times New Roman" w:hAnsi="Arial" w:cs="Arial"/>
          <w:sz w:val="22"/>
          <w:lang w:eastAsia="de-DE"/>
        </w:rPr>
      </w:pPr>
    </w:p>
    <w:p w14:paraId="0F1FDEF3" w14:textId="77777777" w:rsidR="000617F0" w:rsidRPr="00E31491" w:rsidRDefault="000617F0" w:rsidP="000617F0">
      <w:pPr>
        <w:numPr>
          <w:ilvl w:val="0"/>
          <w:numId w:val="1"/>
        </w:numPr>
        <w:rPr>
          <w:rFonts w:ascii="Arial" w:eastAsia="Times New Roman" w:hAnsi="Arial" w:cs="Arial"/>
          <w:b/>
          <w:sz w:val="22"/>
          <w:lang w:eastAsia="de-DE"/>
        </w:rPr>
      </w:pPr>
      <w:r w:rsidRPr="00E31491">
        <w:rPr>
          <w:rFonts w:ascii="Arial" w:eastAsia="Times New Roman" w:hAnsi="Arial" w:cs="Arial"/>
          <w:b/>
          <w:sz w:val="22"/>
          <w:lang w:eastAsia="de-DE"/>
        </w:rPr>
        <w:t>Wirtschaftliche Lage in Deutschland und in Thüringen</w:t>
      </w:r>
    </w:p>
    <w:p w14:paraId="54B8D4B0" w14:textId="77777777" w:rsidR="000617F0" w:rsidRPr="00E31491" w:rsidRDefault="000617F0" w:rsidP="000617F0">
      <w:pPr>
        <w:rPr>
          <w:rFonts w:ascii="Arial" w:eastAsia="Times New Roman" w:hAnsi="Arial" w:cs="Arial"/>
          <w:sz w:val="22"/>
          <w:lang w:eastAsia="de-DE"/>
        </w:rPr>
      </w:pPr>
    </w:p>
    <w:p w14:paraId="44A6D471" w14:textId="77777777" w:rsidR="00B475F4" w:rsidRPr="00B475F4" w:rsidRDefault="00B475F4" w:rsidP="00B475F4">
      <w:pPr>
        <w:rPr>
          <w:rFonts w:ascii="Arial" w:eastAsia="Times New Roman" w:hAnsi="Arial" w:cs="Arial"/>
          <w:b/>
          <w:i/>
          <w:iCs/>
          <w:sz w:val="22"/>
          <w:lang w:eastAsia="de-DE"/>
        </w:rPr>
      </w:pPr>
      <w:r w:rsidRPr="00B475F4">
        <w:rPr>
          <w:rFonts w:ascii="Arial" w:eastAsia="Times New Roman" w:hAnsi="Arial" w:cs="Arial"/>
          <w:b/>
          <w:i/>
          <w:iCs/>
          <w:sz w:val="22"/>
          <w:lang w:eastAsia="de-DE"/>
        </w:rPr>
        <w:t>Konjunkturelle Entwicklung</w:t>
      </w:r>
    </w:p>
    <w:p w14:paraId="4F30D462" w14:textId="77777777" w:rsidR="00B475F4" w:rsidRPr="00B475F4" w:rsidRDefault="00B475F4" w:rsidP="00B475F4">
      <w:pPr>
        <w:rPr>
          <w:rFonts w:ascii="Arial" w:eastAsia="Times New Roman" w:hAnsi="Arial" w:cs="Arial"/>
          <w:b/>
          <w:i/>
          <w:iCs/>
          <w:sz w:val="22"/>
          <w:lang w:eastAsia="de-DE"/>
        </w:rPr>
      </w:pPr>
    </w:p>
    <w:p w14:paraId="1F508B92" w14:textId="77777777" w:rsidR="00B475F4" w:rsidRPr="00CF26C4" w:rsidRDefault="00B475F4" w:rsidP="00B475F4">
      <w:pPr>
        <w:rPr>
          <w:rFonts w:ascii="Arial" w:hAnsi="Arial" w:cs="Arial"/>
          <w:sz w:val="22"/>
        </w:rPr>
      </w:pPr>
      <w:r w:rsidRPr="00CF26C4">
        <w:rPr>
          <w:rFonts w:ascii="Arial" w:hAnsi="Arial" w:cs="Arial"/>
          <w:sz w:val="22"/>
        </w:rPr>
        <w:t>Die Prognosen für die wirtschaftliche Entwicklung in Deutschland im Jahr 2025 haben sich nicht bestätigt. Nach zwei Jahren des Rückgangs, stieg das BIP im Jahr 2025 um +0,2%.</w:t>
      </w:r>
    </w:p>
    <w:p w14:paraId="70071CF4" w14:textId="77777777" w:rsidR="00B475F4" w:rsidRPr="00CF26C4" w:rsidRDefault="00B475F4" w:rsidP="00B475F4">
      <w:pPr>
        <w:rPr>
          <w:rFonts w:ascii="Arial" w:hAnsi="Arial" w:cs="Arial"/>
          <w:sz w:val="22"/>
        </w:rPr>
      </w:pPr>
      <w:r w:rsidRPr="00CF26C4">
        <w:rPr>
          <w:rFonts w:ascii="Arial" w:hAnsi="Arial" w:cs="Arial"/>
          <w:sz w:val="22"/>
        </w:rPr>
        <w:t>Das Wachstum ist vor allem auf die gestiegenen Konsumausgaben der privaten Haushalte und des Staates zurückzuführen.</w:t>
      </w:r>
    </w:p>
    <w:p w14:paraId="5BEEB054" w14:textId="77777777" w:rsidR="00B475F4" w:rsidRPr="00CF26C4" w:rsidRDefault="00B475F4" w:rsidP="00B475F4">
      <w:pPr>
        <w:rPr>
          <w:rFonts w:ascii="Arial" w:hAnsi="Arial" w:cs="Arial"/>
          <w:sz w:val="22"/>
        </w:rPr>
      </w:pPr>
      <w:r w:rsidRPr="00CF26C4">
        <w:rPr>
          <w:rFonts w:ascii="Arial" w:hAnsi="Arial" w:cs="Arial"/>
          <w:sz w:val="22"/>
        </w:rPr>
        <w:t xml:space="preserve">Die Entwicklung der Bruttowertschöpfung verlief im Jahr 2025 in den einzelnen Wirtschafts-bereichen unterschiedlich: Die Wirtschaftsleistung im Produzierenden Gewerbe (ohne Bau-gewerbe) ging insgesamt um 1,3% zurück. Die Bauinvestitionen sanken im Jahr 2025 preis-bereinigt um 3,6 % (2024: -3,5 %). Diese Entwicklung ist im abgelaufenen Kalenderjahr im Wesentlichen durch die hohen Baupreise begründet. </w:t>
      </w:r>
    </w:p>
    <w:p w14:paraId="6EEF71BC" w14:textId="77777777" w:rsidR="00B475F4" w:rsidRPr="00CF26C4" w:rsidRDefault="00B475F4" w:rsidP="00B475F4">
      <w:pPr>
        <w:rPr>
          <w:rFonts w:ascii="Arial" w:hAnsi="Arial" w:cs="Arial"/>
          <w:sz w:val="22"/>
        </w:rPr>
      </w:pPr>
    </w:p>
    <w:p w14:paraId="72EB36B9" w14:textId="77777777" w:rsidR="00B475F4" w:rsidRPr="00CF26C4" w:rsidRDefault="00B475F4" w:rsidP="00B475F4">
      <w:pPr>
        <w:rPr>
          <w:rFonts w:ascii="Arial" w:hAnsi="Arial" w:cs="Arial"/>
          <w:sz w:val="22"/>
        </w:rPr>
      </w:pPr>
      <w:r w:rsidRPr="00CF26C4">
        <w:rPr>
          <w:rFonts w:ascii="Arial" w:hAnsi="Arial" w:cs="Arial"/>
          <w:sz w:val="22"/>
        </w:rPr>
        <w:t>Sowohl die privaten als auch die staatlichen Konsumausgaben stiegen im Jahr 2025 preis-bereinigt deutlich gegenüber dem Vorjahr. Die preisbereinigten privaten Konsumausgaben nahmen insgesamt um 1,4% zu.</w:t>
      </w:r>
    </w:p>
    <w:p w14:paraId="449F5A1B" w14:textId="77777777" w:rsidR="00B475F4" w:rsidRPr="00CF26C4" w:rsidRDefault="00B475F4" w:rsidP="00B475F4">
      <w:pPr>
        <w:rPr>
          <w:rFonts w:ascii="Arial" w:hAnsi="Arial" w:cs="Arial"/>
          <w:sz w:val="22"/>
        </w:rPr>
      </w:pPr>
      <w:r w:rsidRPr="00CF26C4">
        <w:rPr>
          <w:rFonts w:ascii="Arial" w:hAnsi="Arial" w:cs="Arial"/>
          <w:sz w:val="22"/>
        </w:rPr>
        <w:t xml:space="preserve">Der Staatskonsum stieg 2025 mit einem preisbereinigten Zuwachs von 1,5 % noch etwas stärker als der private Konsum. Hauptursache für den Anstieg waren die Ausgaben für die Sozialversicherung. </w:t>
      </w:r>
    </w:p>
    <w:p w14:paraId="3050A43D" w14:textId="77777777" w:rsidR="00B475F4" w:rsidRPr="00B475F4" w:rsidRDefault="00B475F4" w:rsidP="00B475F4">
      <w:pPr>
        <w:rPr>
          <w:rFonts w:ascii="Arial" w:eastAsia="Times New Roman" w:hAnsi="Arial" w:cs="Arial"/>
          <w:b/>
          <w:i/>
          <w:iCs/>
          <w:sz w:val="22"/>
          <w:lang w:eastAsia="de-DE"/>
        </w:rPr>
      </w:pPr>
    </w:p>
    <w:p w14:paraId="20B97741" w14:textId="77777777" w:rsidR="00B475F4" w:rsidRPr="00B475F4" w:rsidRDefault="00B475F4" w:rsidP="00B475F4">
      <w:pPr>
        <w:rPr>
          <w:rFonts w:ascii="Arial" w:eastAsia="Times New Roman" w:hAnsi="Arial" w:cs="Arial"/>
          <w:b/>
          <w:i/>
          <w:iCs/>
          <w:sz w:val="22"/>
          <w:lang w:eastAsia="de-DE"/>
        </w:rPr>
      </w:pPr>
      <w:r w:rsidRPr="00B475F4">
        <w:rPr>
          <w:rFonts w:ascii="Arial" w:eastAsia="Times New Roman" w:hAnsi="Arial" w:cs="Arial"/>
          <w:b/>
          <w:i/>
          <w:iCs/>
          <w:sz w:val="22"/>
          <w:lang w:eastAsia="de-DE"/>
        </w:rPr>
        <w:t>Entwicklung der Verbraucherpreise</w:t>
      </w:r>
    </w:p>
    <w:p w14:paraId="0620A9D8" w14:textId="77777777" w:rsidR="00B475F4" w:rsidRPr="00B475F4" w:rsidRDefault="00B475F4" w:rsidP="00B475F4">
      <w:pPr>
        <w:rPr>
          <w:rFonts w:ascii="Arial" w:eastAsia="Times New Roman" w:hAnsi="Arial" w:cs="Arial"/>
          <w:b/>
          <w:i/>
          <w:iCs/>
          <w:sz w:val="22"/>
          <w:lang w:eastAsia="de-DE"/>
        </w:rPr>
      </w:pPr>
    </w:p>
    <w:p w14:paraId="2E2083E9" w14:textId="77777777" w:rsidR="00B475F4" w:rsidRPr="00CF26C4" w:rsidRDefault="00B475F4" w:rsidP="00B475F4">
      <w:pPr>
        <w:rPr>
          <w:rFonts w:ascii="Arial" w:eastAsia="Times New Roman" w:hAnsi="Arial" w:cs="Arial"/>
          <w:bCs/>
          <w:sz w:val="22"/>
          <w:lang w:eastAsia="de-DE"/>
        </w:rPr>
      </w:pPr>
      <w:r w:rsidRPr="00CF26C4">
        <w:rPr>
          <w:rFonts w:ascii="Arial" w:eastAsia="Times New Roman" w:hAnsi="Arial" w:cs="Arial"/>
          <w:bCs/>
          <w:sz w:val="22"/>
          <w:lang w:eastAsia="de-DE"/>
        </w:rPr>
        <w:t xml:space="preserve">Im Jahr 2025 blieb die durchschnittliche Jahresteuerungsrate wie im Jahr 2024 bei 2,2%. </w:t>
      </w:r>
    </w:p>
    <w:p w14:paraId="30713D37" w14:textId="77777777" w:rsidR="00B475F4" w:rsidRPr="00CF26C4" w:rsidRDefault="00B475F4" w:rsidP="00B475F4">
      <w:pPr>
        <w:rPr>
          <w:rFonts w:ascii="Arial" w:eastAsia="Times New Roman" w:hAnsi="Arial" w:cs="Arial"/>
          <w:bCs/>
          <w:sz w:val="22"/>
          <w:lang w:eastAsia="de-DE"/>
        </w:rPr>
      </w:pPr>
      <w:r w:rsidRPr="00CF26C4">
        <w:rPr>
          <w:rFonts w:ascii="Arial" w:eastAsia="Times New Roman" w:hAnsi="Arial" w:cs="Arial"/>
          <w:bCs/>
          <w:sz w:val="22"/>
          <w:lang w:eastAsia="de-DE"/>
        </w:rPr>
        <w:t>Nach Mitteilung des Thüringer Landesamtes für Statistik stiegen die Verbraucherpreise im Jahr 2025 auf einen durchschnittlichen Index von 122,5 (Basis 2020=100). Die Preise für Heizöl und Kraftstoffe gingen um 3,1% zurück. Der Bereich Strom, Gas und andere Brenn-stoffe sank um 8,4%.</w:t>
      </w:r>
    </w:p>
    <w:p w14:paraId="034629F8" w14:textId="77777777" w:rsidR="00B475F4" w:rsidRPr="00CF26C4" w:rsidRDefault="00B475F4" w:rsidP="00B475F4">
      <w:pPr>
        <w:rPr>
          <w:rFonts w:ascii="Arial" w:eastAsia="Times New Roman" w:hAnsi="Arial" w:cs="Arial"/>
          <w:bCs/>
          <w:sz w:val="22"/>
          <w:lang w:eastAsia="de-DE"/>
        </w:rPr>
      </w:pPr>
    </w:p>
    <w:p w14:paraId="7ACC372A" w14:textId="25D8C131" w:rsidR="000A3412" w:rsidRDefault="00B475F4" w:rsidP="000617F0">
      <w:pPr>
        <w:rPr>
          <w:rFonts w:ascii="Arial" w:eastAsia="Times New Roman" w:hAnsi="Arial" w:cs="Arial"/>
          <w:bCs/>
          <w:sz w:val="22"/>
          <w:lang w:eastAsia="de-DE"/>
        </w:rPr>
      </w:pPr>
      <w:r w:rsidRPr="00CF26C4">
        <w:rPr>
          <w:rFonts w:ascii="Arial" w:eastAsia="Times New Roman" w:hAnsi="Arial" w:cs="Arial"/>
          <w:bCs/>
          <w:sz w:val="22"/>
          <w:lang w:eastAsia="de-DE"/>
        </w:rPr>
        <w:t xml:space="preserve">Die höchsten relativen Preisanstiege wurden </w:t>
      </w:r>
      <w:proofErr w:type="gramStart"/>
      <w:r w:rsidRPr="00CF26C4">
        <w:rPr>
          <w:rFonts w:ascii="Arial" w:eastAsia="Times New Roman" w:hAnsi="Arial" w:cs="Arial"/>
          <w:bCs/>
          <w:sz w:val="22"/>
          <w:lang w:eastAsia="de-DE"/>
        </w:rPr>
        <w:t>in 2025</w:t>
      </w:r>
      <w:proofErr w:type="gramEnd"/>
      <w:r w:rsidRPr="00CF26C4">
        <w:rPr>
          <w:rFonts w:ascii="Arial" w:eastAsia="Times New Roman" w:hAnsi="Arial" w:cs="Arial"/>
          <w:bCs/>
          <w:sz w:val="22"/>
          <w:lang w:eastAsia="de-DE"/>
        </w:rPr>
        <w:t xml:space="preserve"> im Bereich Kaffee, Tee und Kakao mit +14,8 % verzeichnet. </w:t>
      </w:r>
    </w:p>
    <w:p w14:paraId="551A7EB8" w14:textId="77777777" w:rsidR="00B475F4" w:rsidRDefault="00B475F4" w:rsidP="000617F0">
      <w:pPr>
        <w:rPr>
          <w:rFonts w:ascii="Arial" w:eastAsia="Times New Roman" w:hAnsi="Arial" w:cs="Arial"/>
          <w:bCs/>
          <w:sz w:val="22"/>
          <w:lang w:eastAsia="de-DE"/>
        </w:rPr>
      </w:pPr>
    </w:p>
    <w:p w14:paraId="26456273" w14:textId="77777777" w:rsidR="00B475F4" w:rsidRDefault="00B475F4" w:rsidP="000617F0">
      <w:pPr>
        <w:rPr>
          <w:rFonts w:ascii="Arial" w:eastAsia="Times New Roman" w:hAnsi="Arial" w:cs="Arial"/>
          <w:bCs/>
          <w:sz w:val="22"/>
          <w:lang w:eastAsia="de-DE"/>
        </w:rPr>
      </w:pPr>
    </w:p>
    <w:p w14:paraId="41C79E1C" w14:textId="77777777" w:rsidR="00B475F4" w:rsidRDefault="00B475F4" w:rsidP="000617F0">
      <w:pPr>
        <w:rPr>
          <w:rFonts w:ascii="Arial" w:eastAsia="Times New Roman" w:hAnsi="Arial" w:cs="Arial"/>
          <w:bCs/>
          <w:sz w:val="22"/>
          <w:lang w:eastAsia="de-DE"/>
        </w:rPr>
      </w:pPr>
    </w:p>
    <w:p w14:paraId="03894D03" w14:textId="77777777" w:rsidR="00B475F4" w:rsidRDefault="00B475F4" w:rsidP="000617F0">
      <w:pPr>
        <w:rPr>
          <w:rFonts w:ascii="Arial" w:eastAsia="Times New Roman" w:hAnsi="Arial" w:cs="Arial"/>
          <w:bCs/>
          <w:sz w:val="22"/>
          <w:lang w:eastAsia="de-DE"/>
        </w:rPr>
      </w:pPr>
    </w:p>
    <w:p w14:paraId="289375F5" w14:textId="77777777" w:rsidR="00B475F4" w:rsidRDefault="00B475F4" w:rsidP="000617F0">
      <w:pPr>
        <w:rPr>
          <w:rFonts w:ascii="Arial" w:eastAsia="Times New Roman" w:hAnsi="Arial" w:cs="Arial"/>
          <w:bCs/>
          <w:sz w:val="22"/>
          <w:lang w:eastAsia="de-DE"/>
        </w:rPr>
      </w:pPr>
    </w:p>
    <w:p w14:paraId="39BCF5EA" w14:textId="77777777" w:rsidR="00B475F4" w:rsidRDefault="00B475F4" w:rsidP="000617F0">
      <w:pPr>
        <w:rPr>
          <w:rFonts w:ascii="Arial" w:eastAsia="Times New Roman" w:hAnsi="Arial" w:cs="Arial"/>
          <w:bCs/>
          <w:sz w:val="22"/>
          <w:lang w:eastAsia="de-DE"/>
        </w:rPr>
      </w:pPr>
    </w:p>
    <w:p w14:paraId="534E29ED" w14:textId="77777777" w:rsidR="00B475F4" w:rsidRPr="00B475F4" w:rsidRDefault="00B475F4" w:rsidP="000617F0">
      <w:pPr>
        <w:rPr>
          <w:rFonts w:ascii="Arial" w:eastAsia="Times New Roman" w:hAnsi="Arial" w:cs="Arial"/>
          <w:bCs/>
          <w:sz w:val="22"/>
          <w:lang w:eastAsia="de-DE"/>
        </w:rPr>
      </w:pPr>
    </w:p>
    <w:p w14:paraId="7A10308B" w14:textId="77777777" w:rsidR="000617F0" w:rsidRPr="00CF26C4" w:rsidRDefault="000617F0" w:rsidP="000617F0">
      <w:pPr>
        <w:rPr>
          <w:rFonts w:ascii="Arial" w:eastAsia="Times New Roman" w:hAnsi="Arial" w:cs="Arial"/>
          <w:b/>
          <w:sz w:val="22"/>
          <w:lang w:eastAsia="de-DE"/>
        </w:rPr>
      </w:pPr>
      <w:r w:rsidRPr="00CF26C4">
        <w:rPr>
          <w:rFonts w:ascii="Arial" w:eastAsia="Times New Roman" w:hAnsi="Arial" w:cs="Arial"/>
          <w:b/>
          <w:sz w:val="22"/>
          <w:lang w:eastAsia="de-DE"/>
        </w:rPr>
        <w:lastRenderedPageBreak/>
        <w:t>Konjunkturaussichten</w:t>
      </w:r>
    </w:p>
    <w:p w14:paraId="5A23315E" w14:textId="77777777" w:rsidR="000617F0" w:rsidRDefault="000617F0" w:rsidP="000617F0">
      <w:pPr>
        <w:rPr>
          <w:rFonts w:ascii="Arial" w:eastAsia="Times New Roman" w:hAnsi="Arial" w:cs="Arial"/>
          <w:sz w:val="22"/>
          <w:lang w:eastAsia="de-DE"/>
        </w:rPr>
      </w:pPr>
    </w:p>
    <w:p w14:paraId="3173DF39" w14:textId="77777777" w:rsidR="00B475F4" w:rsidRPr="00B475F4" w:rsidRDefault="00B475F4" w:rsidP="00B475F4">
      <w:pPr>
        <w:rPr>
          <w:rFonts w:ascii="Arial" w:eastAsia="Times New Roman" w:hAnsi="Arial" w:cs="Arial"/>
          <w:sz w:val="22"/>
          <w:lang w:eastAsia="de-DE"/>
        </w:rPr>
      </w:pPr>
      <w:r w:rsidRPr="00B475F4">
        <w:rPr>
          <w:rFonts w:ascii="Arial" w:eastAsia="Times New Roman" w:hAnsi="Arial" w:cs="Arial"/>
          <w:sz w:val="22"/>
          <w:lang w:eastAsia="de-DE"/>
        </w:rPr>
        <w:t xml:space="preserve">Die Prognosen führender Wirtschaftsinstitute und des Sachverständigenrats zur </w:t>
      </w:r>
      <w:proofErr w:type="spellStart"/>
      <w:r w:rsidRPr="00B475F4">
        <w:rPr>
          <w:rFonts w:ascii="Arial" w:eastAsia="Times New Roman" w:hAnsi="Arial" w:cs="Arial"/>
          <w:sz w:val="22"/>
          <w:lang w:eastAsia="de-DE"/>
        </w:rPr>
        <w:t>Begutach-tung</w:t>
      </w:r>
      <w:proofErr w:type="spellEnd"/>
      <w:r w:rsidRPr="00B475F4">
        <w:rPr>
          <w:rFonts w:ascii="Arial" w:eastAsia="Times New Roman" w:hAnsi="Arial" w:cs="Arial"/>
          <w:sz w:val="22"/>
          <w:lang w:eastAsia="de-DE"/>
        </w:rPr>
        <w:t xml:space="preserve"> der gesamtwirtschaftlichen Entwicklung, der die Regierung berät, liegen für das Jahr 2026 auf niedrigem Niveau sehr nahe beieinander. So erwartet das Institut der deutschen Wirtschaft (IW) angesichts der turbulenten globalen politischen Landschaft einen Anstieg des BIP der Weltwirtschaft um voraussichtlich 2,0% und für Deutschland ein Wachstum von 0,9%.</w:t>
      </w:r>
    </w:p>
    <w:p w14:paraId="45475796" w14:textId="77777777" w:rsidR="00B475F4" w:rsidRPr="00B475F4" w:rsidRDefault="00B475F4" w:rsidP="00B475F4">
      <w:pPr>
        <w:rPr>
          <w:rFonts w:ascii="Arial" w:eastAsia="Times New Roman" w:hAnsi="Arial" w:cs="Arial"/>
          <w:sz w:val="22"/>
          <w:lang w:eastAsia="de-DE"/>
        </w:rPr>
      </w:pPr>
      <w:r w:rsidRPr="00B475F4">
        <w:rPr>
          <w:rFonts w:ascii="Arial" w:eastAsia="Times New Roman" w:hAnsi="Arial" w:cs="Arial"/>
          <w:sz w:val="22"/>
          <w:lang w:eastAsia="de-DE"/>
        </w:rPr>
        <w:t xml:space="preserve">Das IW geht für 2026 von einer weiterhin stabilen Inflation von 2% aus. Nach einigen Leit-zinssenkungen ist von Seiten der EZB mit einer Zinspause zu rechnen. </w:t>
      </w:r>
    </w:p>
    <w:p w14:paraId="5CF7F314" w14:textId="77777777" w:rsidR="00B475F4" w:rsidRPr="00B475F4" w:rsidRDefault="00B475F4" w:rsidP="00B475F4">
      <w:pPr>
        <w:rPr>
          <w:rFonts w:ascii="Arial" w:eastAsia="Times New Roman" w:hAnsi="Arial" w:cs="Arial"/>
          <w:sz w:val="22"/>
          <w:lang w:eastAsia="de-DE"/>
        </w:rPr>
      </w:pPr>
    </w:p>
    <w:p w14:paraId="2F351B16" w14:textId="77777777" w:rsidR="00B475F4" w:rsidRPr="00B475F4" w:rsidRDefault="00B475F4" w:rsidP="00B475F4">
      <w:pPr>
        <w:rPr>
          <w:rFonts w:ascii="Arial" w:eastAsia="Times New Roman" w:hAnsi="Arial" w:cs="Arial"/>
          <w:sz w:val="22"/>
          <w:lang w:eastAsia="de-DE"/>
        </w:rPr>
      </w:pPr>
      <w:r w:rsidRPr="00B475F4">
        <w:rPr>
          <w:rFonts w:ascii="Arial" w:eastAsia="Times New Roman" w:hAnsi="Arial" w:cs="Arial"/>
          <w:sz w:val="22"/>
          <w:lang w:eastAsia="de-DE"/>
        </w:rPr>
        <w:t xml:space="preserve">Der Sachverständigenrat zur Begutachtung der gesamtwirtschaftlichen Entwicklung </w:t>
      </w:r>
      <w:proofErr w:type="spellStart"/>
      <w:r w:rsidRPr="00B475F4">
        <w:rPr>
          <w:rFonts w:ascii="Arial" w:eastAsia="Times New Roman" w:hAnsi="Arial" w:cs="Arial"/>
          <w:sz w:val="22"/>
          <w:lang w:eastAsia="de-DE"/>
        </w:rPr>
        <w:t>prognos-tiziert</w:t>
      </w:r>
      <w:proofErr w:type="spellEnd"/>
      <w:r w:rsidRPr="00B475F4">
        <w:rPr>
          <w:rFonts w:ascii="Arial" w:eastAsia="Times New Roman" w:hAnsi="Arial" w:cs="Arial"/>
          <w:sz w:val="22"/>
          <w:lang w:eastAsia="de-DE"/>
        </w:rPr>
        <w:t xml:space="preserve"> in seinem Jahresgutachten 2025/2026 ein Plus von 0,9 % für das Jahr 2026. Die Prog-</w:t>
      </w:r>
      <w:proofErr w:type="spellStart"/>
      <w:r w:rsidRPr="00B475F4">
        <w:rPr>
          <w:rFonts w:ascii="Arial" w:eastAsia="Times New Roman" w:hAnsi="Arial" w:cs="Arial"/>
          <w:sz w:val="22"/>
          <w:lang w:eastAsia="de-DE"/>
        </w:rPr>
        <w:t>nose</w:t>
      </w:r>
      <w:proofErr w:type="spellEnd"/>
      <w:r w:rsidRPr="00B475F4">
        <w:rPr>
          <w:rFonts w:ascii="Arial" w:eastAsia="Times New Roman" w:hAnsi="Arial" w:cs="Arial"/>
          <w:sz w:val="22"/>
          <w:lang w:eastAsia="de-DE"/>
        </w:rPr>
        <w:t xml:space="preserve"> für das Jahr 2026 gründet auf erwarteten Impulsen für Bau- und </w:t>
      </w:r>
      <w:proofErr w:type="spellStart"/>
      <w:r w:rsidRPr="00B475F4">
        <w:rPr>
          <w:rFonts w:ascii="Arial" w:eastAsia="Times New Roman" w:hAnsi="Arial" w:cs="Arial"/>
          <w:sz w:val="22"/>
          <w:lang w:eastAsia="de-DE"/>
        </w:rPr>
        <w:t>Ausrüstungsinvestitio-nen</w:t>
      </w:r>
      <w:proofErr w:type="spellEnd"/>
      <w:r w:rsidRPr="00B475F4">
        <w:rPr>
          <w:rFonts w:ascii="Arial" w:eastAsia="Times New Roman" w:hAnsi="Arial" w:cs="Arial"/>
          <w:sz w:val="22"/>
          <w:lang w:eastAsia="de-DE"/>
        </w:rPr>
        <w:t xml:space="preserve"> infolge des Finanzpakets des Bundes. </w:t>
      </w:r>
    </w:p>
    <w:p w14:paraId="235CE626" w14:textId="77777777" w:rsidR="00B475F4" w:rsidRPr="00B475F4" w:rsidRDefault="00B475F4" w:rsidP="00B475F4">
      <w:pPr>
        <w:rPr>
          <w:rFonts w:ascii="Arial" w:eastAsia="Times New Roman" w:hAnsi="Arial" w:cs="Arial"/>
          <w:sz w:val="22"/>
          <w:lang w:eastAsia="de-DE"/>
        </w:rPr>
      </w:pPr>
    </w:p>
    <w:p w14:paraId="3DF5FA66" w14:textId="77777777" w:rsidR="00B475F4" w:rsidRPr="00B475F4" w:rsidRDefault="00B475F4" w:rsidP="00B475F4">
      <w:pPr>
        <w:rPr>
          <w:rFonts w:ascii="Arial" w:eastAsia="Times New Roman" w:hAnsi="Arial" w:cs="Arial"/>
          <w:sz w:val="22"/>
          <w:lang w:eastAsia="de-DE"/>
        </w:rPr>
      </w:pPr>
      <w:r w:rsidRPr="00B475F4">
        <w:rPr>
          <w:rFonts w:ascii="Arial" w:eastAsia="Times New Roman" w:hAnsi="Arial" w:cs="Arial"/>
          <w:sz w:val="22"/>
          <w:lang w:eastAsia="de-DE"/>
        </w:rPr>
        <w:t xml:space="preserve">Abwärtsrisiken zur Prognose bestehen im Falle eines langsamen abfließen der Mittel des Finanzpakets sowie einer etwaigen inflationären Wirkung. </w:t>
      </w:r>
    </w:p>
    <w:p w14:paraId="2093F68B" w14:textId="77777777" w:rsidR="00B475F4" w:rsidRPr="00B475F4" w:rsidRDefault="00B475F4" w:rsidP="00B475F4">
      <w:pPr>
        <w:rPr>
          <w:rFonts w:ascii="Arial" w:eastAsia="Times New Roman" w:hAnsi="Arial" w:cs="Arial"/>
          <w:sz w:val="22"/>
          <w:lang w:eastAsia="de-DE"/>
        </w:rPr>
      </w:pPr>
    </w:p>
    <w:p w14:paraId="602EA992" w14:textId="384E1E55" w:rsidR="002C077A" w:rsidRDefault="00B475F4" w:rsidP="008B4373">
      <w:pPr>
        <w:rPr>
          <w:rFonts w:ascii="Arial" w:hAnsi="Arial" w:cs="Arial"/>
          <w:sz w:val="22"/>
        </w:rPr>
      </w:pPr>
      <w:r w:rsidRPr="00B475F4">
        <w:rPr>
          <w:rFonts w:ascii="Arial" w:eastAsia="Times New Roman" w:hAnsi="Arial" w:cs="Arial"/>
          <w:sz w:val="22"/>
          <w:lang w:eastAsia="de-DE"/>
        </w:rPr>
        <w:t xml:space="preserve">Das ifo-Institut sieht Deutschland im demografischen und industriellen Strukturwandel. Für das Jahr 2026 wird mit einem Wachstum von 0,8% gerechnet.  </w:t>
      </w:r>
      <w:r w:rsidR="002C077A">
        <w:rPr>
          <w:rFonts w:ascii="Arial" w:hAnsi="Arial" w:cs="Arial"/>
          <w:sz w:val="22"/>
        </w:rPr>
        <w:br w:type="page"/>
      </w:r>
    </w:p>
    <w:p w14:paraId="6AB16C39" w14:textId="77777777" w:rsidR="000617F0" w:rsidRPr="000617F0" w:rsidRDefault="000617F0" w:rsidP="000617F0">
      <w:pPr>
        <w:rPr>
          <w:rFonts w:ascii="Arial" w:eastAsia="Times New Roman" w:hAnsi="Arial" w:cs="Arial"/>
          <w:b/>
          <w:i/>
          <w:iCs/>
          <w:sz w:val="22"/>
          <w:lang w:eastAsia="de-DE"/>
        </w:rPr>
      </w:pPr>
      <w:r w:rsidRPr="000617F0">
        <w:rPr>
          <w:rFonts w:ascii="Arial" w:eastAsia="Times New Roman" w:hAnsi="Arial" w:cs="Arial"/>
          <w:b/>
          <w:i/>
          <w:iCs/>
          <w:sz w:val="22"/>
          <w:lang w:eastAsia="de-DE"/>
        </w:rPr>
        <w:lastRenderedPageBreak/>
        <w:t>Demografische Entwicklung</w:t>
      </w:r>
    </w:p>
    <w:p w14:paraId="3391C8DC" w14:textId="77777777" w:rsidR="000617F0" w:rsidRPr="00A77386" w:rsidRDefault="000617F0" w:rsidP="000617F0">
      <w:pPr>
        <w:rPr>
          <w:rFonts w:ascii="Arial" w:eastAsia="Times New Roman" w:hAnsi="Arial" w:cs="Arial"/>
          <w:sz w:val="22"/>
          <w:lang w:eastAsia="de-DE"/>
        </w:rPr>
      </w:pPr>
    </w:p>
    <w:p w14:paraId="2F0F10DE" w14:textId="77777777" w:rsidR="00C35FB4" w:rsidRPr="008B1D38" w:rsidRDefault="00C35FB4" w:rsidP="00C35FB4">
      <w:pPr>
        <w:rPr>
          <w:rFonts w:ascii="Arial" w:hAnsi="Arial" w:cs="Arial"/>
          <w:sz w:val="22"/>
        </w:rPr>
      </w:pPr>
      <w:r w:rsidRPr="008B1D38">
        <w:rPr>
          <w:rFonts w:ascii="Arial" w:hAnsi="Arial" w:cs="Arial"/>
          <w:sz w:val="22"/>
        </w:rPr>
        <w:t>Die Bevölkerung in Deutschland ist im Jahr 2025 um 100.000 Personen gesunken (2024: +100.000). So lebten zum Jahresende 2025 gut 83,5 Millionen Personen in Deutschland.</w:t>
      </w:r>
      <w:r w:rsidRPr="008B1D38">
        <w:rPr>
          <w:rStyle w:val="Funotenzeichen"/>
          <w:rFonts w:ascii="Arial" w:hAnsi="Arial" w:cs="Arial"/>
          <w:sz w:val="22"/>
        </w:rPr>
        <w:footnoteReference w:id="1"/>
      </w:r>
      <w:r w:rsidRPr="008B1D38">
        <w:rPr>
          <w:rFonts w:ascii="Arial" w:hAnsi="Arial" w:cs="Arial"/>
          <w:sz w:val="22"/>
        </w:rPr>
        <w:t xml:space="preserve"> </w:t>
      </w:r>
    </w:p>
    <w:p w14:paraId="7006F24E" w14:textId="77777777" w:rsidR="00C35FB4" w:rsidRPr="008B1D38" w:rsidRDefault="00C35FB4" w:rsidP="00C35FB4">
      <w:pPr>
        <w:rPr>
          <w:rFonts w:ascii="Arial" w:hAnsi="Arial" w:cs="Arial"/>
          <w:sz w:val="22"/>
        </w:rPr>
      </w:pPr>
    </w:p>
    <w:p w14:paraId="558A9C7C" w14:textId="77777777" w:rsidR="00C35FB4" w:rsidRPr="008B1D38" w:rsidRDefault="00C35FB4" w:rsidP="00C35FB4">
      <w:pPr>
        <w:rPr>
          <w:rStyle w:val="markedcontent"/>
          <w:rFonts w:ascii="Arial" w:hAnsi="Arial" w:cs="Arial"/>
          <w:sz w:val="22"/>
        </w:rPr>
      </w:pPr>
      <w:r w:rsidRPr="008B1D38">
        <w:rPr>
          <w:rFonts w:ascii="Arial" w:hAnsi="Arial" w:cs="Arial"/>
          <w:sz w:val="22"/>
        </w:rPr>
        <w:t>Am 30. September 202</w:t>
      </w:r>
      <w:r>
        <w:rPr>
          <w:rFonts w:ascii="Arial" w:hAnsi="Arial" w:cs="Arial"/>
          <w:sz w:val="22"/>
        </w:rPr>
        <w:t>5</w:t>
      </w:r>
      <w:r w:rsidRPr="008B1D38">
        <w:rPr>
          <w:rFonts w:ascii="Arial" w:hAnsi="Arial" w:cs="Arial"/>
          <w:sz w:val="22"/>
        </w:rPr>
        <w:t xml:space="preserve"> hatte Thüringen eine Bevölkerung von 2.083.311 Personen. Damit reduzierte sich nach vorläufigen Ergebnissen des Thüringer Landesamtes für Statistik die Bevölkerungszahl seit Jahresbeginn bis zum 30. September 202</w:t>
      </w:r>
      <w:r>
        <w:rPr>
          <w:rFonts w:ascii="Arial" w:hAnsi="Arial" w:cs="Arial"/>
          <w:sz w:val="22"/>
        </w:rPr>
        <w:t>5</w:t>
      </w:r>
      <w:r w:rsidRPr="008B1D38">
        <w:rPr>
          <w:rFonts w:ascii="Arial" w:hAnsi="Arial" w:cs="Arial"/>
          <w:sz w:val="22"/>
        </w:rPr>
        <w:t xml:space="preserve"> um 16.966 Personen bzw. um 0,8 %. </w:t>
      </w:r>
      <w:r w:rsidRPr="008B1D38">
        <w:rPr>
          <w:rStyle w:val="Funotenzeichen"/>
          <w:rFonts w:ascii="Arial" w:hAnsi="Arial" w:cs="Arial"/>
          <w:sz w:val="22"/>
        </w:rPr>
        <w:footnoteReference w:id="2"/>
      </w:r>
    </w:p>
    <w:p w14:paraId="30AC5866" w14:textId="77777777" w:rsidR="0098242B" w:rsidRDefault="0098242B" w:rsidP="000617F0">
      <w:pPr>
        <w:rPr>
          <w:rStyle w:val="markedcontent"/>
          <w:rFonts w:ascii="Arial" w:hAnsi="Arial" w:cs="Arial"/>
          <w:i/>
          <w:iCs/>
          <w:sz w:val="22"/>
        </w:rPr>
      </w:pPr>
    </w:p>
    <w:p w14:paraId="4D6B6C52" w14:textId="58C1BFA7" w:rsidR="000617F0" w:rsidRDefault="0098242B" w:rsidP="000617F0">
      <w:pPr>
        <w:pStyle w:val="Default"/>
        <w:rPr>
          <w:rFonts w:ascii="Arial" w:hAnsi="Arial" w:cs="Arial"/>
          <w:sz w:val="22"/>
          <w:szCs w:val="22"/>
        </w:rPr>
      </w:pPr>
      <w:r w:rsidRPr="00C35FB4">
        <w:rPr>
          <w:rFonts w:ascii="Arial" w:hAnsi="Arial" w:cs="Arial"/>
          <w:sz w:val="22"/>
          <w:szCs w:val="22"/>
        </w:rPr>
        <w:t xml:space="preserve">Die </w:t>
      </w:r>
      <w:r w:rsidR="00C35FB4" w:rsidRPr="00C35FB4">
        <w:rPr>
          <w:rFonts w:ascii="Arial" w:hAnsi="Arial" w:cs="Arial"/>
          <w:sz w:val="22"/>
          <w:szCs w:val="22"/>
        </w:rPr>
        <w:t>4</w:t>
      </w:r>
      <w:r w:rsidR="000617F0" w:rsidRPr="00C35FB4">
        <w:rPr>
          <w:rFonts w:ascii="Arial" w:hAnsi="Arial" w:cs="Arial"/>
          <w:sz w:val="22"/>
          <w:szCs w:val="22"/>
        </w:rPr>
        <w:t xml:space="preserve">. regionalisierte Bevölkerungsvorausberechnung </w:t>
      </w:r>
      <w:r w:rsidR="009C4381" w:rsidRPr="00C35FB4">
        <w:rPr>
          <w:rFonts w:ascii="Arial" w:hAnsi="Arial" w:cs="Arial"/>
          <w:sz w:val="22"/>
          <w:szCs w:val="22"/>
        </w:rPr>
        <w:t>(</w:t>
      </w:r>
      <w:proofErr w:type="spellStart"/>
      <w:r w:rsidR="009C4381" w:rsidRPr="00C35FB4">
        <w:rPr>
          <w:rFonts w:ascii="Arial" w:hAnsi="Arial" w:cs="Arial"/>
          <w:sz w:val="22"/>
          <w:szCs w:val="22"/>
        </w:rPr>
        <w:t>rBv</w:t>
      </w:r>
      <w:proofErr w:type="spellEnd"/>
      <w:r w:rsidR="009C4381" w:rsidRPr="00C35FB4">
        <w:rPr>
          <w:rFonts w:ascii="Arial" w:hAnsi="Arial" w:cs="Arial"/>
          <w:sz w:val="22"/>
          <w:szCs w:val="22"/>
        </w:rPr>
        <w:t xml:space="preserve">) </w:t>
      </w:r>
      <w:r w:rsidRPr="00C35FB4">
        <w:rPr>
          <w:rFonts w:ascii="Arial" w:hAnsi="Arial" w:cs="Arial"/>
          <w:sz w:val="22"/>
          <w:szCs w:val="22"/>
        </w:rPr>
        <w:t>des Thüringer Landesamtes für Statistik gibt einen detaillierten Ausblick auf die Bevölkerungsentwicklung bis zum Jahr 204</w:t>
      </w:r>
      <w:r w:rsidR="00C35FB4" w:rsidRPr="00C35FB4">
        <w:rPr>
          <w:rFonts w:ascii="Arial" w:hAnsi="Arial" w:cs="Arial"/>
          <w:sz w:val="22"/>
          <w:szCs w:val="22"/>
        </w:rPr>
        <w:t>5</w:t>
      </w:r>
      <w:r w:rsidRPr="00C35FB4">
        <w:rPr>
          <w:rFonts w:ascii="Arial" w:hAnsi="Arial" w:cs="Arial"/>
          <w:sz w:val="22"/>
          <w:szCs w:val="22"/>
        </w:rPr>
        <w:t xml:space="preserve">. Demnach </w:t>
      </w:r>
      <w:r w:rsidR="000617F0" w:rsidRPr="00C35FB4">
        <w:rPr>
          <w:rFonts w:ascii="Arial" w:hAnsi="Arial" w:cs="Arial"/>
          <w:sz w:val="22"/>
          <w:szCs w:val="22"/>
        </w:rPr>
        <w:t>wird sich die Thüringer Bevölkerung in den nächsten 20 Jahren weiter auf voraussichtlich noch 1.</w:t>
      </w:r>
      <w:r w:rsidR="00C35FB4" w:rsidRPr="00C35FB4">
        <w:rPr>
          <w:rFonts w:ascii="Arial" w:hAnsi="Arial" w:cs="Arial"/>
          <w:sz w:val="22"/>
          <w:szCs w:val="22"/>
        </w:rPr>
        <w:t>783</w:t>
      </w:r>
      <w:r w:rsidR="000617F0" w:rsidRPr="00C35FB4">
        <w:rPr>
          <w:rFonts w:ascii="Arial" w:hAnsi="Arial" w:cs="Arial"/>
          <w:sz w:val="22"/>
          <w:szCs w:val="22"/>
        </w:rPr>
        <w:t>.</w:t>
      </w:r>
      <w:r w:rsidR="00C35FB4" w:rsidRPr="00C35FB4">
        <w:rPr>
          <w:rFonts w:ascii="Arial" w:hAnsi="Arial" w:cs="Arial"/>
          <w:sz w:val="22"/>
          <w:szCs w:val="22"/>
        </w:rPr>
        <w:t>0</w:t>
      </w:r>
      <w:r w:rsidR="000617F0" w:rsidRPr="00C35FB4">
        <w:rPr>
          <w:rFonts w:ascii="Arial" w:hAnsi="Arial" w:cs="Arial"/>
          <w:sz w:val="22"/>
          <w:szCs w:val="22"/>
        </w:rPr>
        <w:t xml:space="preserve">00 Einwohnerinnen und Einwohner verringern. </w:t>
      </w:r>
      <w:r w:rsidR="006A2297">
        <w:rPr>
          <w:rFonts w:ascii="Arial" w:hAnsi="Arial" w:cs="Arial"/>
          <w:sz w:val="22"/>
          <w:szCs w:val="22"/>
        </w:rPr>
        <w:t xml:space="preserve">Gegenüber 2025 </w:t>
      </w:r>
      <w:r w:rsidR="00C35FB4" w:rsidRPr="00C35FB4">
        <w:rPr>
          <w:rFonts w:ascii="Arial" w:hAnsi="Arial" w:cs="Arial"/>
          <w:sz w:val="22"/>
          <w:szCs w:val="22"/>
        </w:rPr>
        <w:t xml:space="preserve">entspricht </w:t>
      </w:r>
      <w:r w:rsidR="006A2297">
        <w:rPr>
          <w:rFonts w:ascii="Arial" w:hAnsi="Arial" w:cs="Arial"/>
          <w:sz w:val="22"/>
          <w:szCs w:val="22"/>
        </w:rPr>
        <w:t xml:space="preserve">dies </w:t>
      </w:r>
      <w:r w:rsidR="00C35FB4" w:rsidRPr="00C35FB4">
        <w:rPr>
          <w:rFonts w:ascii="Arial" w:hAnsi="Arial" w:cs="Arial"/>
          <w:sz w:val="22"/>
          <w:szCs w:val="22"/>
        </w:rPr>
        <w:t>einem Rückgang von insgesamt 14%.</w:t>
      </w:r>
    </w:p>
    <w:p w14:paraId="55807EA7" w14:textId="6BE62BE7" w:rsidR="006A2297" w:rsidRPr="00C35FB4" w:rsidRDefault="006A2297" w:rsidP="000617F0">
      <w:pPr>
        <w:pStyle w:val="Default"/>
        <w:rPr>
          <w:rFonts w:ascii="Arial" w:hAnsi="Arial" w:cs="Arial"/>
          <w:sz w:val="22"/>
          <w:szCs w:val="22"/>
        </w:rPr>
      </w:pPr>
      <w:r>
        <w:rPr>
          <w:rFonts w:ascii="Arial" w:hAnsi="Arial" w:cs="Arial"/>
          <w:sz w:val="22"/>
          <w:szCs w:val="22"/>
        </w:rPr>
        <w:t>Relativ am stärksten ist der Rückgang bei der Altersklasse bis unter 20 Jahren. Für diese Gruppe wird ein Rückgang von 21,2% prognostiziert.</w:t>
      </w:r>
    </w:p>
    <w:p w14:paraId="2D2758F6" w14:textId="77777777" w:rsidR="000617F0" w:rsidRPr="004A0118" w:rsidRDefault="000617F0" w:rsidP="000617F0">
      <w:pPr>
        <w:rPr>
          <w:rFonts w:ascii="Arial" w:eastAsia="Times New Roman" w:hAnsi="Arial" w:cs="Arial"/>
          <w:sz w:val="22"/>
          <w:highlight w:val="yellow"/>
          <w:lang w:eastAsia="de-DE"/>
        </w:rPr>
      </w:pPr>
    </w:p>
    <w:p w14:paraId="796801F2" w14:textId="77777777" w:rsidR="00395FA9" w:rsidRPr="004A0118" w:rsidRDefault="00395FA9" w:rsidP="000617F0">
      <w:pPr>
        <w:rPr>
          <w:rFonts w:ascii="Arial" w:eastAsia="Times New Roman" w:hAnsi="Arial" w:cs="Arial"/>
          <w:sz w:val="22"/>
          <w:highlight w:val="yellow"/>
          <w:lang w:eastAsia="de-DE"/>
        </w:rPr>
      </w:pPr>
    </w:p>
    <w:p w14:paraId="33AD0D6E" w14:textId="77777777" w:rsidR="00BC3FC6" w:rsidRDefault="00BC3FC6" w:rsidP="00D86A7A">
      <w:pPr>
        <w:rPr>
          <w:rFonts w:ascii="Arial" w:hAnsi="Arial" w:cs="Arial"/>
          <w:sz w:val="22"/>
        </w:rPr>
      </w:pPr>
    </w:p>
    <w:p w14:paraId="54609470" w14:textId="77777777" w:rsidR="006D032B" w:rsidRDefault="006D032B" w:rsidP="2C14A910">
      <w:pPr>
        <w:rPr>
          <w:rFonts w:ascii="Arial" w:eastAsia="Times New Roman" w:hAnsi="Arial" w:cs="Arial"/>
          <w:b/>
          <w:bCs/>
          <w:i/>
          <w:iCs/>
          <w:sz w:val="22"/>
          <w:lang w:eastAsia="de-DE"/>
        </w:rPr>
      </w:pPr>
    </w:p>
    <w:p w14:paraId="54879506" w14:textId="77777777" w:rsidR="006D032B" w:rsidRDefault="006D032B" w:rsidP="2C14A910">
      <w:pPr>
        <w:rPr>
          <w:rFonts w:ascii="Arial" w:eastAsia="Times New Roman" w:hAnsi="Arial" w:cs="Arial"/>
          <w:b/>
          <w:bCs/>
          <w:i/>
          <w:iCs/>
          <w:sz w:val="22"/>
          <w:lang w:eastAsia="de-DE"/>
        </w:rPr>
      </w:pPr>
    </w:p>
    <w:p w14:paraId="49EA8D63" w14:textId="182B69D3" w:rsidR="000617F0" w:rsidRPr="002D79D9" w:rsidRDefault="000617F0" w:rsidP="2C14A910">
      <w:pPr>
        <w:rPr>
          <w:rFonts w:ascii="Arial" w:eastAsia="Times New Roman" w:hAnsi="Arial" w:cs="Arial"/>
          <w:b/>
          <w:bCs/>
          <w:i/>
          <w:iCs/>
          <w:sz w:val="22"/>
          <w:lang w:eastAsia="de-DE"/>
        </w:rPr>
      </w:pPr>
      <w:r w:rsidRPr="2C14A910">
        <w:rPr>
          <w:rFonts w:ascii="Arial" w:eastAsia="Times New Roman" w:hAnsi="Arial" w:cs="Arial"/>
          <w:b/>
          <w:bCs/>
          <w:i/>
          <w:iCs/>
          <w:sz w:val="22"/>
          <w:lang w:eastAsia="de-DE"/>
        </w:rPr>
        <w:t>Gebäude und Wohnungen</w:t>
      </w:r>
    </w:p>
    <w:p w14:paraId="463ED985" w14:textId="77777777" w:rsidR="000617F0" w:rsidRPr="002D79D9" w:rsidRDefault="000617F0" w:rsidP="000617F0">
      <w:pPr>
        <w:autoSpaceDE w:val="0"/>
        <w:autoSpaceDN w:val="0"/>
        <w:adjustRightInd w:val="0"/>
        <w:rPr>
          <w:rFonts w:ascii="Arial" w:hAnsi="Arial" w:cs="Arial"/>
          <w:sz w:val="22"/>
        </w:rPr>
      </w:pPr>
    </w:p>
    <w:p w14:paraId="4442CE56" w14:textId="1D473625" w:rsidR="000617F0" w:rsidRPr="00440723" w:rsidRDefault="000617F0" w:rsidP="00440723">
      <w:pPr>
        <w:autoSpaceDE w:val="0"/>
        <w:autoSpaceDN w:val="0"/>
        <w:adjustRightInd w:val="0"/>
        <w:rPr>
          <w:rFonts w:ascii="Arial" w:eastAsia="Times New Roman" w:hAnsi="Arial" w:cs="Arial"/>
          <w:sz w:val="22"/>
          <w:lang w:eastAsia="de-DE"/>
        </w:rPr>
      </w:pPr>
      <w:r w:rsidRPr="00440723">
        <w:rPr>
          <w:rFonts w:ascii="Arial" w:hAnsi="Arial" w:cs="Arial"/>
          <w:sz w:val="22"/>
        </w:rPr>
        <w:t>Die Wohnungsfortschreibung in Thüringen ergab für Ende 202</w:t>
      </w:r>
      <w:r w:rsidR="006A2297" w:rsidRPr="00440723">
        <w:rPr>
          <w:rFonts w:ascii="Arial" w:hAnsi="Arial" w:cs="Arial"/>
          <w:sz w:val="22"/>
        </w:rPr>
        <w:t>4</w:t>
      </w:r>
      <w:r w:rsidRPr="00440723">
        <w:rPr>
          <w:rFonts w:ascii="Arial" w:hAnsi="Arial" w:cs="Arial"/>
          <w:sz w:val="22"/>
        </w:rPr>
        <w:t xml:space="preserve"> einen Wohnungsbestand von 1.</w:t>
      </w:r>
      <w:r w:rsidR="006A2297" w:rsidRPr="00440723">
        <w:rPr>
          <w:rFonts w:ascii="Arial" w:hAnsi="Arial" w:cs="Arial"/>
          <w:sz w:val="22"/>
        </w:rPr>
        <w:t>175.215</w:t>
      </w:r>
      <w:r w:rsidRPr="00440723">
        <w:rPr>
          <w:rFonts w:ascii="Arial" w:hAnsi="Arial" w:cs="Arial"/>
          <w:sz w:val="22"/>
        </w:rPr>
        <w:t xml:space="preserve"> Wohnungen (einschließlich Wohnheime). Die durchschnittliche Wohnung in Thüringen hatte nach Mitteilung des Thüringer Landesamtes für Statistik eine reine Wohnfläche von 8</w:t>
      </w:r>
      <w:r w:rsidR="006A2297" w:rsidRPr="00440723">
        <w:rPr>
          <w:rFonts w:ascii="Arial" w:hAnsi="Arial" w:cs="Arial"/>
          <w:sz w:val="22"/>
        </w:rPr>
        <w:t>6</w:t>
      </w:r>
      <w:r w:rsidRPr="00440723">
        <w:rPr>
          <w:rFonts w:ascii="Arial" w:hAnsi="Arial" w:cs="Arial"/>
          <w:sz w:val="22"/>
        </w:rPr>
        <w:t>,</w:t>
      </w:r>
      <w:r w:rsidR="006A2297" w:rsidRPr="00440723">
        <w:rPr>
          <w:rFonts w:ascii="Arial" w:hAnsi="Arial" w:cs="Arial"/>
          <w:sz w:val="22"/>
        </w:rPr>
        <w:t>6</w:t>
      </w:r>
      <w:r w:rsidRPr="00440723">
        <w:rPr>
          <w:rFonts w:ascii="Arial" w:hAnsi="Arial" w:cs="Arial"/>
          <w:sz w:val="22"/>
        </w:rPr>
        <w:t xml:space="preserve"> m². </w:t>
      </w:r>
    </w:p>
    <w:p w14:paraId="30D8A5CD" w14:textId="77777777" w:rsidR="006E1996" w:rsidRPr="00440723" w:rsidRDefault="006E1996" w:rsidP="000617F0">
      <w:pPr>
        <w:rPr>
          <w:rStyle w:val="markedcontent"/>
          <w:rFonts w:ascii="Arial" w:hAnsi="Arial" w:cs="Arial"/>
          <w:sz w:val="22"/>
        </w:rPr>
      </w:pPr>
    </w:p>
    <w:p w14:paraId="443E848A" w14:textId="743604DA" w:rsidR="003C41A9" w:rsidRDefault="000617F0" w:rsidP="000617F0">
      <w:pPr>
        <w:rPr>
          <w:rFonts w:ascii="Arial" w:hAnsi="Arial" w:cs="Arial"/>
          <w:sz w:val="22"/>
        </w:rPr>
      </w:pPr>
      <w:r w:rsidRPr="00440723">
        <w:rPr>
          <w:rFonts w:ascii="Arial" w:hAnsi="Arial" w:cs="Arial"/>
          <w:sz w:val="22"/>
        </w:rPr>
        <w:t>Unter Berücksichtigung des Bevölkerungsstandes zum 31.12.202</w:t>
      </w:r>
      <w:r w:rsidR="00440723" w:rsidRPr="00440723">
        <w:rPr>
          <w:rFonts w:ascii="Arial" w:hAnsi="Arial" w:cs="Arial"/>
          <w:sz w:val="22"/>
        </w:rPr>
        <w:t>4</w:t>
      </w:r>
      <w:r w:rsidRPr="00440723">
        <w:rPr>
          <w:rFonts w:ascii="Arial" w:hAnsi="Arial" w:cs="Arial"/>
          <w:sz w:val="22"/>
        </w:rPr>
        <w:t xml:space="preserve"> entfielen in Thüringen auf 1.000 Einwohner 56</w:t>
      </w:r>
      <w:r w:rsidR="00440723" w:rsidRPr="00440723">
        <w:rPr>
          <w:rFonts w:ascii="Arial" w:hAnsi="Arial" w:cs="Arial"/>
          <w:sz w:val="22"/>
        </w:rPr>
        <w:t>0</w:t>
      </w:r>
      <w:r w:rsidRPr="00440723">
        <w:rPr>
          <w:rFonts w:ascii="Arial" w:hAnsi="Arial" w:cs="Arial"/>
          <w:sz w:val="22"/>
        </w:rPr>
        <w:t xml:space="preserve"> Wohnungen</w:t>
      </w:r>
      <w:r w:rsidR="00440723" w:rsidRPr="00440723">
        <w:rPr>
          <w:rFonts w:ascii="Arial" w:hAnsi="Arial" w:cs="Arial"/>
          <w:sz w:val="22"/>
        </w:rPr>
        <w:t>.</w:t>
      </w:r>
    </w:p>
    <w:p w14:paraId="596A6C27" w14:textId="77777777" w:rsidR="00440723" w:rsidRPr="004F4E8D" w:rsidRDefault="00440723" w:rsidP="000617F0">
      <w:pPr>
        <w:rPr>
          <w:rFonts w:ascii="Arial" w:eastAsia="Times New Roman" w:hAnsi="Arial" w:cs="Arial"/>
          <w:color w:val="000000"/>
          <w:sz w:val="22"/>
          <w:lang w:eastAsia="de-DE"/>
        </w:rPr>
      </w:pPr>
    </w:p>
    <w:p w14:paraId="3658206F" w14:textId="3E2370A1" w:rsidR="000617F0" w:rsidRPr="00CE18F9" w:rsidRDefault="000617F0" w:rsidP="000617F0">
      <w:pPr>
        <w:rPr>
          <w:rFonts w:ascii="Arial" w:eastAsia="Times New Roman" w:hAnsi="Arial" w:cs="Arial"/>
          <w:b/>
          <w:sz w:val="22"/>
          <w:lang w:eastAsia="de-DE"/>
        </w:rPr>
      </w:pPr>
      <w:r w:rsidRPr="00CE18F9">
        <w:rPr>
          <w:rFonts w:ascii="Arial" w:eastAsia="Times New Roman" w:hAnsi="Arial" w:cs="Arial"/>
          <w:b/>
          <w:sz w:val="22"/>
          <w:lang w:eastAsia="de-DE"/>
        </w:rPr>
        <w:t>II.</w:t>
      </w:r>
      <w:r w:rsidRPr="00CE18F9">
        <w:rPr>
          <w:rFonts w:ascii="Arial" w:eastAsia="Times New Roman" w:hAnsi="Arial" w:cs="Arial"/>
          <w:b/>
          <w:sz w:val="22"/>
          <w:lang w:eastAsia="de-DE"/>
        </w:rPr>
        <w:tab/>
        <w:t>Branchenentwicklung</w:t>
      </w:r>
    </w:p>
    <w:p w14:paraId="6DE11112" w14:textId="77777777" w:rsidR="000617F0" w:rsidRPr="00CE18F9" w:rsidRDefault="000617F0" w:rsidP="000617F0">
      <w:pPr>
        <w:rPr>
          <w:rFonts w:ascii="Arial" w:eastAsia="Times New Roman" w:hAnsi="Arial" w:cs="Arial"/>
          <w:sz w:val="22"/>
          <w:lang w:eastAsia="de-DE"/>
        </w:rPr>
      </w:pPr>
    </w:p>
    <w:p w14:paraId="6E58DC11" w14:textId="33BAA7D0" w:rsidR="000617F0" w:rsidRPr="000617F0" w:rsidRDefault="000617F0" w:rsidP="000617F0">
      <w:pPr>
        <w:rPr>
          <w:rFonts w:ascii="Arial" w:eastAsia="Times New Roman" w:hAnsi="Arial" w:cs="Arial"/>
          <w:b/>
          <w:i/>
          <w:iCs/>
          <w:sz w:val="22"/>
          <w:lang w:eastAsia="de-DE"/>
        </w:rPr>
      </w:pPr>
      <w:r w:rsidRPr="000617F0">
        <w:rPr>
          <w:rFonts w:ascii="Arial" w:eastAsia="Times New Roman" w:hAnsi="Arial" w:cs="Arial"/>
          <w:b/>
          <w:i/>
          <w:iCs/>
          <w:sz w:val="22"/>
          <w:lang w:eastAsia="de-DE"/>
        </w:rPr>
        <w:t xml:space="preserve">Allgemeine </w:t>
      </w:r>
      <w:r w:rsidR="00896501">
        <w:rPr>
          <w:rFonts w:ascii="Arial" w:eastAsia="Times New Roman" w:hAnsi="Arial" w:cs="Arial"/>
          <w:b/>
          <w:i/>
          <w:iCs/>
          <w:sz w:val="22"/>
          <w:lang w:eastAsia="de-DE"/>
        </w:rPr>
        <w:t>Entwicklun</w:t>
      </w:r>
      <w:r w:rsidR="00B475F4">
        <w:rPr>
          <w:rFonts w:ascii="Arial" w:eastAsia="Times New Roman" w:hAnsi="Arial" w:cs="Arial"/>
          <w:b/>
          <w:i/>
          <w:iCs/>
          <w:sz w:val="22"/>
          <w:lang w:eastAsia="de-DE"/>
        </w:rPr>
        <w:t>g</w:t>
      </w:r>
      <w:r w:rsidR="00896501">
        <w:rPr>
          <w:rFonts w:ascii="Arial" w:eastAsia="Times New Roman" w:hAnsi="Arial" w:cs="Arial"/>
          <w:b/>
          <w:i/>
          <w:iCs/>
          <w:sz w:val="22"/>
          <w:lang w:eastAsia="de-DE"/>
        </w:rPr>
        <w:t xml:space="preserve"> in den Mitgliedsunternehmen des vtw</w:t>
      </w:r>
    </w:p>
    <w:p w14:paraId="48C8C92D" w14:textId="308AC99F" w:rsidR="00896501" w:rsidRDefault="00896501" w:rsidP="000617F0">
      <w:pPr>
        <w:rPr>
          <w:rFonts w:ascii="Arial" w:hAnsi="Arial" w:cs="Arial"/>
          <w:sz w:val="22"/>
        </w:rPr>
      </w:pPr>
    </w:p>
    <w:p w14:paraId="21A2244D" w14:textId="6B6F069D" w:rsidR="00E13A0A" w:rsidRDefault="00E13A0A" w:rsidP="00E13A0A">
      <w:pPr>
        <w:rPr>
          <w:rFonts w:ascii="Arial" w:eastAsia="Times New Roman" w:hAnsi="Arial" w:cs="Arial"/>
          <w:sz w:val="22"/>
          <w:lang w:eastAsia="de-DE"/>
        </w:rPr>
      </w:pPr>
      <w:r w:rsidRPr="069391AC">
        <w:rPr>
          <w:rFonts w:ascii="Arial" w:hAnsi="Arial" w:cs="Arial"/>
          <w:sz w:val="22"/>
        </w:rPr>
        <w:t>Im Verband der Thüringer Wohnungswirtschaft (vtw) waren am 3</w:t>
      </w:r>
      <w:r w:rsidR="00CF26C4">
        <w:rPr>
          <w:rFonts w:ascii="Arial" w:hAnsi="Arial" w:cs="Arial"/>
          <w:sz w:val="22"/>
        </w:rPr>
        <w:t>0</w:t>
      </w:r>
      <w:r w:rsidRPr="069391AC">
        <w:rPr>
          <w:rFonts w:ascii="Arial" w:hAnsi="Arial" w:cs="Arial"/>
          <w:sz w:val="22"/>
        </w:rPr>
        <w:t>.</w:t>
      </w:r>
      <w:r>
        <w:rPr>
          <w:rFonts w:ascii="Arial" w:hAnsi="Arial" w:cs="Arial"/>
          <w:sz w:val="22"/>
        </w:rPr>
        <w:t>0</w:t>
      </w:r>
      <w:r w:rsidR="00CF26C4">
        <w:rPr>
          <w:rFonts w:ascii="Arial" w:hAnsi="Arial" w:cs="Arial"/>
          <w:sz w:val="22"/>
        </w:rPr>
        <w:t>4</w:t>
      </w:r>
      <w:r w:rsidRPr="069391AC">
        <w:rPr>
          <w:rFonts w:ascii="Arial" w:hAnsi="Arial" w:cs="Arial"/>
          <w:sz w:val="22"/>
        </w:rPr>
        <w:t>.</w:t>
      </w:r>
      <w:r w:rsidR="00CF26C4" w:rsidRPr="069391AC">
        <w:rPr>
          <w:rFonts w:ascii="Arial" w:hAnsi="Arial" w:cs="Arial"/>
          <w:sz w:val="22"/>
        </w:rPr>
        <w:t>202</w:t>
      </w:r>
      <w:r w:rsidR="00CF26C4">
        <w:rPr>
          <w:rFonts w:ascii="Arial" w:hAnsi="Arial" w:cs="Arial"/>
          <w:sz w:val="22"/>
        </w:rPr>
        <w:t>6</w:t>
      </w:r>
      <w:r w:rsidR="00CF26C4" w:rsidRPr="069391AC">
        <w:rPr>
          <w:rFonts w:ascii="Arial" w:hAnsi="Arial" w:cs="Arial"/>
          <w:sz w:val="22"/>
        </w:rPr>
        <w:t xml:space="preserve"> </w:t>
      </w:r>
      <w:r>
        <w:br/>
      </w:r>
      <w:r w:rsidR="00CF26C4" w:rsidRPr="069391AC">
        <w:rPr>
          <w:rFonts w:ascii="Arial" w:hAnsi="Arial" w:cs="Arial"/>
          <w:sz w:val="22"/>
        </w:rPr>
        <w:t>2</w:t>
      </w:r>
      <w:r w:rsidR="00CF26C4">
        <w:rPr>
          <w:rFonts w:ascii="Arial" w:hAnsi="Arial" w:cs="Arial"/>
          <w:sz w:val="22"/>
        </w:rPr>
        <w:t xml:space="preserve">40 </w:t>
      </w:r>
      <w:r w:rsidRPr="069391AC">
        <w:rPr>
          <w:rFonts w:ascii="Arial" w:hAnsi="Arial" w:cs="Arial"/>
          <w:sz w:val="22"/>
        </w:rPr>
        <w:t xml:space="preserve">Mitgliedsunternehmen organsiert. Darunter 106 Bau- und Wohnungsgenossenschaften sowie </w:t>
      </w:r>
      <w:r>
        <w:rPr>
          <w:rFonts w:ascii="Arial" w:hAnsi="Arial" w:cs="Arial"/>
          <w:sz w:val="22"/>
        </w:rPr>
        <w:t>71</w:t>
      </w:r>
      <w:r w:rsidRPr="069391AC">
        <w:rPr>
          <w:rFonts w:ascii="Arial" w:hAnsi="Arial" w:cs="Arial"/>
          <w:sz w:val="22"/>
        </w:rPr>
        <w:t xml:space="preserve"> kommunale Wohnungsgesellschaften und Kommunen. Insgesamt bewirtschafteten die Mitgliedsunternehmen Ende </w:t>
      </w:r>
      <w:r w:rsidR="00CF26C4" w:rsidRPr="069391AC">
        <w:rPr>
          <w:rFonts w:ascii="Arial" w:hAnsi="Arial" w:cs="Arial"/>
          <w:sz w:val="22"/>
        </w:rPr>
        <w:t>202</w:t>
      </w:r>
      <w:r w:rsidR="00CF26C4">
        <w:rPr>
          <w:rFonts w:ascii="Arial" w:hAnsi="Arial" w:cs="Arial"/>
          <w:sz w:val="22"/>
        </w:rPr>
        <w:t>5</w:t>
      </w:r>
      <w:r w:rsidR="00CF26C4" w:rsidRPr="069391AC">
        <w:rPr>
          <w:rFonts w:ascii="Arial" w:hAnsi="Arial" w:cs="Arial"/>
          <w:sz w:val="22"/>
        </w:rPr>
        <w:t xml:space="preserve"> </w:t>
      </w:r>
      <w:r w:rsidRPr="069391AC">
        <w:rPr>
          <w:rFonts w:ascii="Arial" w:hAnsi="Arial" w:cs="Arial"/>
          <w:sz w:val="22"/>
        </w:rPr>
        <w:t xml:space="preserve">rund </w:t>
      </w:r>
      <w:r w:rsidR="00CF26C4" w:rsidRPr="069391AC">
        <w:rPr>
          <w:rFonts w:ascii="Arial" w:hAnsi="Arial" w:cs="Arial"/>
          <w:sz w:val="22"/>
        </w:rPr>
        <w:t>26</w:t>
      </w:r>
      <w:r w:rsidR="00CF26C4">
        <w:rPr>
          <w:rFonts w:ascii="Arial" w:hAnsi="Arial" w:cs="Arial"/>
          <w:sz w:val="22"/>
        </w:rPr>
        <w:t>1</w:t>
      </w:r>
      <w:r w:rsidRPr="069391AC">
        <w:rPr>
          <w:rFonts w:ascii="Arial" w:hAnsi="Arial" w:cs="Arial"/>
          <w:sz w:val="22"/>
        </w:rPr>
        <w:t xml:space="preserve">.000 Wohnungen und </w:t>
      </w:r>
      <w:r w:rsidRPr="00E13A0A">
        <w:rPr>
          <w:rFonts w:ascii="Arial" w:hAnsi="Arial" w:cs="Arial"/>
          <w:sz w:val="22"/>
        </w:rPr>
        <w:t>damit annährend die Hälfte des gesamten Thüringer Mietwohnungsbestandes.</w:t>
      </w:r>
      <w:r w:rsidRPr="069391AC">
        <w:rPr>
          <w:rFonts w:ascii="Arial" w:eastAsia="Arial" w:hAnsi="Arial" w:cs="Arial"/>
          <w:color w:val="881798"/>
          <w:sz w:val="22"/>
          <w:u w:val="single"/>
        </w:rPr>
        <w:t xml:space="preserve">   </w:t>
      </w:r>
      <w:r w:rsidRPr="069391AC">
        <w:rPr>
          <w:rFonts w:ascii="Arial" w:eastAsia="Arial" w:hAnsi="Arial" w:cs="Arial"/>
          <w:sz w:val="22"/>
        </w:rPr>
        <w:t xml:space="preserve"> </w:t>
      </w:r>
    </w:p>
    <w:p w14:paraId="64577137" w14:textId="77777777" w:rsidR="00E13A0A" w:rsidRDefault="00E13A0A" w:rsidP="00E13A0A">
      <w:pPr>
        <w:rPr>
          <w:rFonts w:ascii="Arial" w:hAnsi="Arial" w:cs="Arial"/>
          <w:sz w:val="22"/>
          <w:lang w:eastAsia="de-DE"/>
        </w:rPr>
      </w:pPr>
    </w:p>
    <w:p w14:paraId="099F439E" w14:textId="77777777" w:rsidR="00E13A0A" w:rsidRPr="00CE18F9" w:rsidRDefault="00E13A0A" w:rsidP="00E13A0A">
      <w:pPr>
        <w:rPr>
          <w:rFonts w:ascii="Arial" w:eastAsia="Times New Roman" w:hAnsi="Arial" w:cs="Arial"/>
          <w:sz w:val="22"/>
          <w:lang w:eastAsia="de-DE"/>
        </w:rPr>
      </w:pPr>
    </w:p>
    <w:p w14:paraId="3DF1C8CF" w14:textId="2EB9BA03" w:rsidR="00E13A0A" w:rsidRPr="00CE18F9" w:rsidRDefault="00E13A0A" w:rsidP="00E13A0A">
      <w:pPr>
        <w:rPr>
          <w:rFonts w:ascii="Arial" w:hAnsi="Arial" w:cs="Arial"/>
          <w:sz w:val="22"/>
        </w:rPr>
      </w:pPr>
      <w:r w:rsidRPr="2C14A910">
        <w:rPr>
          <w:rFonts w:ascii="Arial" w:hAnsi="Arial" w:cs="Arial"/>
          <w:sz w:val="22"/>
        </w:rPr>
        <w:t xml:space="preserve">Die Verbandsmitglieder haben seit 1991 rund </w:t>
      </w:r>
      <w:r w:rsidR="00CF26C4" w:rsidRPr="2C14A910">
        <w:rPr>
          <w:rFonts w:ascii="Arial" w:hAnsi="Arial" w:cs="Arial"/>
          <w:sz w:val="22"/>
        </w:rPr>
        <w:t>1</w:t>
      </w:r>
      <w:r w:rsidR="00CF26C4">
        <w:rPr>
          <w:rFonts w:ascii="Arial" w:hAnsi="Arial" w:cs="Arial"/>
          <w:sz w:val="22"/>
        </w:rPr>
        <w:t>6</w:t>
      </w:r>
      <w:r w:rsidRPr="2C14A910">
        <w:rPr>
          <w:rFonts w:ascii="Arial" w:hAnsi="Arial" w:cs="Arial"/>
          <w:sz w:val="22"/>
        </w:rPr>
        <w:t>,</w:t>
      </w:r>
      <w:r w:rsidR="00CF26C4">
        <w:rPr>
          <w:rFonts w:ascii="Arial" w:hAnsi="Arial" w:cs="Arial"/>
          <w:sz w:val="22"/>
        </w:rPr>
        <w:t>15</w:t>
      </w:r>
      <w:r w:rsidR="00CF26C4" w:rsidRPr="2C14A910">
        <w:rPr>
          <w:rFonts w:ascii="Arial" w:hAnsi="Arial" w:cs="Arial"/>
          <w:sz w:val="22"/>
        </w:rPr>
        <w:t xml:space="preserve"> </w:t>
      </w:r>
      <w:r w:rsidRPr="2C14A910">
        <w:rPr>
          <w:rFonts w:ascii="Arial" w:hAnsi="Arial" w:cs="Arial"/>
          <w:sz w:val="22"/>
        </w:rPr>
        <w:t xml:space="preserve">Mrd. </w:t>
      </w:r>
      <w:r>
        <w:rPr>
          <w:rFonts w:ascii="Arial" w:hAnsi="Arial" w:cs="Arial"/>
          <w:sz w:val="22"/>
        </w:rPr>
        <w:t>€</w:t>
      </w:r>
      <w:r w:rsidRPr="2C14A910">
        <w:rPr>
          <w:rFonts w:ascii="Arial" w:hAnsi="Arial" w:cs="Arial"/>
          <w:sz w:val="22"/>
        </w:rPr>
        <w:t xml:space="preserve"> investiert. Rund 90 % der aufgewendeten Mittel flossen in den Wohnungsbestand. Der größte Teil, annähernd die Hälfte der Investitionen, entfiel auf Modernisierungsmaßnahmen. Aber auch der Anteil der Neubauinvestitionen ist mit 10 % erheblich.</w:t>
      </w:r>
    </w:p>
    <w:p w14:paraId="7FB180D1" w14:textId="77777777" w:rsidR="00E13A0A" w:rsidRPr="00CE18F9" w:rsidRDefault="00E13A0A" w:rsidP="00E13A0A">
      <w:pPr>
        <w:rPr>
          <w:rFonts w:ascii="Arial" w:hAnsi="Arial" w:cs="Arial"/>
          <w:sz w:val="22"/>
        </w:rPr>
      </w:pPr>
    </w:p>
    <w:p w14:paraId="57A7C70A" w14:textId="77777777" w:rsidR="00E13A0A" w:rsidRPr="00F0323A" w:rsidRDefault="00E13A0A" w:rsidP="00E13A0A">
      <w:pPr>
        <w:rPr>
          <w:rFonts w:ascii="Arial" w:hAnsi="Arial" w:cs="Arial"/>
          <w:sz w:val="22"/>
          <w:highlight w:val="yellow"/>
        </w:rPr>
      </w:pPr>
    </w:p>
    <w:p w14:paraId="5A8BA0E0" w14:textId="628208E4" w:rsidR="00E13A0A" w:rsidRPr="001F20CB" w:rsidRDefault="00E13A0A" w:rsidP="00E13A0A">
      <w:pPr>
        <w:rPr>
          <w:rFonts w:ascii="Arial" w:hAnsi="Arial" w:cs="Arial"/>
          <w:sz w:val="22"/>
        </w:rPr>
      </w:pPr>
      <w:r w:rsidRPr="2C14A910">
        <w:rPr>
          <w:rFonts w:ascii="Arial" w:hAnsi="Arial" w:cs="Arial"/>
          <w:sz w:val="22"/>
        </w:rPr>
        <w:t xml:space="preserve">Die Aufwendungen für Instandhaltung/Instandsetzung lagen im Jahr </w:t>
      </w:r>
      <w:r w:rsidR="00CF26C4" w:rsidRPr="2C14A910">
        <w:rPr>
          <w:rFonts w:ascii="Arial" w:hAnsi="Arial" w:cs="Arial"/>
          <w:sz w:val="22"/>
        </w:rPr>
        <w:t>202</w:t>
      </w:r>
      <w:r w:rsidR="00CF26C4">
        <w:rPr>
          <w:rFonts w:ascii="Arial" w:hAnsi="Arial" w:cs="Arial"/>
          <w:sz w:val="22"/>
        </w:rPr>
        <w:t>5</w:t>
      </w:r>
      <w:r w:rsidR="00CF26C4" w:rsidRPr="2C14A910">
        <w:rPr>
          <w:rFonts w:ascii="Arial" w:hAnsi="Arial" w:cs="Arial"/>
          <w:sz w:val="22"/>
        </w:rPr>
        <w:t xml:space="preserve"> </w:t>
      </w:r>
      <w:r w:rsidRPr="2C14A910">
        <w:rPr>
          <w:rFonts w:ascii="Arial" w:hAnsi="Arial" w:cs="Arial"/>
          <w:sz w:val="22"/>
        </w:rPr>
        <w:t xml:space="preserve">bei </w:t>
      </w:r>
      <w:r w:rsidR="004A0118" w:rsidRPr="2C14A910">
        <w:rPr>
          <w:rFonts w:ascii="Arial" w:hAnsi="Arial" w:cs="Arial"/>
          <w:sz w:val="22"/>
        </w:rPr>
        <w:t>2</w:t>
      </w:r>
      <w:r w:rsidR="004A0118">
        <w:rPr>
          <w:rFonts w:ascii="Arial" w:hAnsi="Arial" w:cs="Arial"/>
          <w:sz w:val="22"/>
        </w:rPr>
        <w:t>52</w:t>
      </w:r>
      <w:r w:rsidR="004A0118" w:rsidRPr="2C14A910">
        <w:rPr>
          <w:rFonts w:ascii="Arial" w:hAnsi="Arial" w:cs="Arial"/>
          <w:sz w:val="22"/>
        </w:rPr>
        <w:t> </w:t>
      </w:r>
      <w:r w:rsidRPr="2C14A910">
        <w:rPr>
          <w:rFonts w:ascii="Arial" w:hAnsi="Arial" w:cs="Arial"/>
          <w:sz w:val="22"/>
        </w:rPr>
        <w:t>Mio. </w:t>
      </w:r>
      <w:r>
        <w:rPr>
          <w:rFonts w:ascii="Arial" w:hAnsi="Arial" w:cs="Arial"/>
          <w:sz w:val="22"/>
        </w:rPr>
        <w:t>€</w:t>
      </w:r>
      <w:r w:rsidRPr="2C14A910">
        <w:rPr>
          <w:rFonts w:ascii="Arial" w:hAnsi="Arial" w:cs="Arial"/>
          <w:sz w:val="22"/>
        </w:rPr>
        <w:t xml:space="preserve"> und damit rund </w:t>
      </w:r>
      <w:r w:rsidR="004A0118">
        <w:rPr>
          <w:rFonts w:ascii="Arial" w:hAnsi="Arial" w:cs="Arial"/>
          <w:sz w:val="22"/>
        </w:rPr>
        <w:t>2</w:t>
      </w:r>
      <w:r w:rsidRPr="2C14A910">
        <w:rPr>
          <w:rFonts w:ascii="Arial" w:hAnsi="Arial" w:cs="Arial"/>
          <w:sz w:val="22"/>
        </w:rPr>
        <w:t xml:space="preserve">% über dem Vorjahr. </w:t>
      </w:r>
      <w:r>
        <w:rPr>
          <w:rFonts w:ascii="Arial" w:hAnsi="Arial" w:cs="Arial"/>
          <w:sz w:val="22"/>
        </w:rPr>
        <w:t xml:space="preserve">Die Investitionen in </w:t>
      </w:r>
      <w:r w:rsidRPr="2C14A910">
        <w:rPr>
          <w:rFonts w:ascii="Arial" w:hAnsi="Arial" w:cs="Arial"/>
          <w:sz w:val="22"/>
        </w:rPr>
        <w:t xml:space="preserve">Modernisierung </w:t>
      </w:r>
      <w:r w:rsidR="004A0118">
        <w:rPr>
          <w:rFonts w:ascii="Arial" w:hAnsi="Arial" w:cs="Arial"/>
          <w:sz w:val="22"/>
        </w:rPr>
        <w:t xml:space="preserve">sanken </w:t>
      </w:r>
      <w:r w:rsidRPr="2C14A910">
        <w:rPr>
          <w:rFonts w:ascii="Arial" w:hAnsi="Arial" w:cs="Arial"/>
          <w:sz w:val="22"/>
        </w:rPr>
        <w:t xml:space="preserve">im Jahr </w:t>
      </w:r>
      <w:r w:rsidR="004A0118" w:rsidRPr="2C14A910">
        <w:rPr>
          <w:rFonts w:ascii="Arial" w:hAnsi="Arial" w:cs="Arial"/>
          <w:sz w:val="22"/>
        </w:rPr>
        <w:t>202</w:t>
      </w:r>
      <w:r w:rsidR="004A0118">
        <w:rPr>
          <w:rFonts w:ascii="Arial" w:hAnsi="Arial" w:cs="Arial"/>
          <w:sz w:val="22"/>
        </w:rPr>
        <w:t>5</w:t>
      </w:r>
      <w:r w:rsidR="004A0118" w:rsidRPr="2C14A910">
        <w:rPr>
          <w:rFonts w:ascii="Arial" w:hAnsi="Arial" w:cs="Arial"/>
          <w:sz w:val="22"/>
        </w:rPr>
        <w:t xml:space="preserve"> </w:t>
      </w:r>
      <w:r w:rsidRPr="2C14A910">
        <w:rPr>
          <w:rFonts w:ascii="Arial" w:hAnsi="Arial" w:cs="Arial"/>
          <w:sz w:val="22"/>
        </w:rPr>
        <w:t xml:space="preserve">auf </w:t>
      </w:r>
      <w:r w:rsidR="004A0118">
        <w:rPr>
          <w:rFonts w:ascii="Arial" w:hAnsi="Arial" w:cs="Arial"/>
          <w:sz w:val="22"/>
        </w:rPr>
        <w:t xml:space="preserve">190 </w:t>
      </w:r>
      <w:r w:rsidRPr="2C14A910">
        <w:rPr>
          <w:rFonts w:ascii="Arial" w:hAnsi="Arial" w:cs="Arial"/>
          <w:sz w:val="22"/>
        </w:rPr>
        <w:t>Mio.</w:t>
      </w:r>
      <w:r>
        <w:rPr>
          <w:rFonts w:ascii="Arial" w:hAnsi="Arial" w:cs="Arial"/>
          <w:sz w:val="22"/>
        </w:rPr>
        <w:t xml:space="preserve"> €</w:t>
      </w:r>
      <w:r w:rsidRPr="2C14A910">
        <w:rPr>
          <w:rFonts w:ascii="Arial" w:hAnsi="Arial" w:cs="Arial"/>
          <w:sz w:val="22"/>
        </w:rPr>
        <w:t xml:space="preserve">. </w:t>
      </w:r>
    </w:p>
    <w:p w14:paraId="39A78DD6" w14:textId="77777777" w:rsidR="00E13A0A" w:rsidRPr="00F0323A" w:rsidRDefault="00E13A0A" w:rsidP="00E13A0A">
      <w:pPr>
        <w:rPr>
          <w:rFonts w:ascii="Arial" w:hAnsi="Arial" w:cs="Arial"/>
          <w:sz w:val="22"/>
          <w:highlight w:val="yellow"/>
        </w:rPr>
      </w:pPr>
    </w:p>
    <w:p w14:paraId="6BF92A20" w14:textId="46350A22" w:rsidR="00E13A0A" w:rsidRPr="00F05D5F" w:rsidRDefault="00E13A0A" w:rsidP="00E13A0A">
      <w:pPr>
        <w:rPr>
          <w:rFonts w:ascii="Arial" w:hAnsi="Arial" w:cs="Arial"/>
          <w:sz w:val="22"/>
        </w:rPr>
      </w:pPr>
      <w:r w:rsidRPr="00F05D5F">
        <w:rPr>
          <w:rFonts w:ascii="Arial" w:hAnsi="Arial" w:cs="Arial"/>
          <w:sz w:val="22"/>
        </w:rPr>
        <w:t>Die Aufwendungen für Instandhaltung/Instandsetzung bezogen auf den Quadratmeter Wohnfläche sind seit dem Jahr 2010 bis zum Jahr 202</w:t>
      </w:r>
      <w:r w:rsidR="004A0118">
        <w:rPr>
          <w:rFonts w:ascii="Arial" w:hAnsi="Arial" w:cs="Arial"/>
          <w:sz w:val="22"/>
        </w:rPr>
        <w:t>5</w:t>
      </w:r>
      <w:r w:rsidRPr="00F05D5F">
        <w:rPr>
          <w:rFonts w:ascii="Arial" w:hAnsi="Arial" w:cs="Arial"/>
          <w:sz w:val="22"/>
        </w:rPr>
        <w:t xml:space="preserve"> kontinuierlich gewachsen. </w:t>
      </w:r>
      <w:r w:rsidR="004A0118" w:rsidRPr="00F05D5F">
        <w:rPr>
          <w:rFonts w:ascii="Arial" w:hAnsi="Arial" w:cs="Arial"/>
          <w:sz w:val="22"/>
        </w:rPr>
        <w:t>202</w:t>
      </w:r>
      <w:r w:rsidR="004A0118">
        <w:rPr>
          <w:rFonts w:ascii="Arial" w:hAnsi="Arial" w:cs="Arial"/>
          <w:sz w:val="22"/>
        </w:rPr>
        <w:t>5</w:t>
      </w:r>
      <w:r w:rsidR="004A0118" w:rsidRPr="00F05D5F">
        <w:rPr>
          <w:rFonts w:ascii="Arial" w:hAnsi="Arial" w:cs="Arial"/>
          <w:sz w:val="22"/>
        </w:rPr>
        <w:t xml:space="preserve"> </w:t>
      </w:r>
      <w:r w:rsidRPr="00F05D5F">
        <w:rPr>
          <w:rFonts w:ascii="Arial" w:hAnsi="Arial" w:cs="Arial"/>
          <w:sz w:val="22"/>
        </w:rPr>
        <w:t>erreichen sie 1</w:t>
      </w:r>
      <w:r>
        <w:rPr>
          <w:rFonts w:ascii="Arial" w:hAnsi="Arial" w:cs="Arial"/>
          <w:sz w:val="22"/>
        </w:rPr>
        <w:t>7</w:t>
      </w:r>
      <w:r w:rsidRPr="00F05D5F">
        <w:rPr>
          <w:rFonts w:ascii="Arial" w:hAnsi="Arial" w:cs="Arial"/>
          <w:sz w:val="22"/>
        </w:rPr>
        <w:t>,</w:t>
      </w:r>
      <w:r w:rsidR="004A0118">
        <w:rPr>
          <w:rFonts w:ascii="Arial" w:hAnsi="Arial" w:cs="Arial"/>
          <w:sz w:val="22"/>
        </w:rPr>
        <w:t>64</w:t>
      </w:r>
      <w:r w:rsidR="004A0118" w:rsidRPr="00F05D5F">
        <w:rPr>
          <w:rFonts w:ascii="Arial" w:hAnsi="Arial" w:cs="Arial"/>
          <w:sz w:val="22"/>
        </w:rPr>
        <w:t xml:space="preserve"> </w:t>
      </w:r>
      <w:r>
        <w:rPr>
          <w:rFonts w:ascii="Arial" w:hAnsi="Arial" w:cs="Arial"/>
          <w:sz w:val="22"/>
        </w:rPr>
        <w:t>€</w:t>
      </w:r>
      <w:r w:rsidRPr="00F05D5F">
        <w:rPr>
          <w:rFonts w:ascii="Arial" w:hAnsi="Arial" w:cs="Arial"/>
          <w:sz w:val="22"/>
        </w:rPr>
        <w:t xml:space="preserve">/m² p.a. Der Aufwand für Modernisierung ist mit </w:t>
      </w:r>
      <w:r w:rsidR="004A0118" w:rsidRPr="00F05D5F">
        <w:rPr>
          <w:rFonts w:ascii="Arial" w:hAnsi="Arial" w:cs="Arial"/>
          <w:sz w:val="22"/>
        </w:rPr>
        <w:t>1</w:t>
      </w:r>
      <w:r w:rsidR="004A0118">
        <w:rPr>
          <w:rFonts w:ascii="Arial" w:hAnsi="Arial" w:cs="Arial"/>
          <w:sz w:val="22"/>
        </w:rPr>
        <w:t>3</w:t>
      </w:r>
      <w:r w:rsidRPr="00F05D5F">
        <w:rPr>
          <w:rFonts w:ascii="Arial" w:hAnsi="Arial" w:cs="Arial"/>
          <w:sz w:val="22"/>
        </w:rPr>
        <w:t>,</w:t>
      </w:r>
      <w:r w:rsidR="004A0118">
        <w:rPr>
          <w:rFonts w:ascii="Arial" w:hAnsi="Arial" w:cs="Arial"/>
          <w:sz w:val="22"/>
        </w:rPr>
        <w:t>32</w:t>
      </w:r>
      <w:r w:rsidR="004A0118" w:rsidRPr="00F05D5F">
        <w:rPr>
          <w:rFonts w:ascii="Arial" w:hAnsi="Arial" w:cs="Arial"/>
          <w:sz w:val="22"/>
        </w:rPr>
        <w:t> </w:t>
      </w:r>
      <w:r>
        <w:rPr>
          <w:rFonts w:ascii="Arial" w:hAnsi="Arial" w:cs="Arial"/>
          <w:sz w:val="22"/>
        </w:rPr>
        <w:t>€</w:t>
      </w:r>
      <w:r w:rsidRPr="00F05D5F">
        <w:rPr>
          <w:rFonts w:ascii="Arial" w:hAnsi="Arial" w:cs="Arial"/>
          <w:sz w:val="22"/>
        </w:rPr>
        <w:t xml:space="preserve">/m² p. a. im Jahr </w:t>
      </w:r>
      <w:r w:rsidR="004A0118" w:rsidRPr="00F05D5F">
        <w:rPr>
          <w:rFonts w:ascii="Arial" w:hAnsi="Arial" w:cs="Arial"/>
          <w:sz w:val="22"/>
        </w:rPr>
        <w:t>202</w:t>
      </w:r>
      <w:r w:rsidR="004A0118">
        <w:rPr>
          <w:rFonts w:ascii="Arial" w:hAnsi="Arial" w:cs="Arial"/>
          <w:sz w:val="22"/>
        </w:rPr>
        <w:t>5</w:t>
      </w:r>
      <w:r w:rsidR="004A0118" w:rsidRPr="00F05D5F">
        <w:rPr>
          <w:rFonts w:ascii="Arial" w:hAnsi="Arial" w:cs="Arial"/>
          <w:sz w:val="22"/>
        </w:rPr>
        <w:t xml:space="preserve"> </w:t>
      </w:r>
      <w:r w:rsidR="004A0118">
        <w:rPr>
          <w:rFonts w:ascii="Arial" w:hAnsi="Arial" w:cs="Arial"/>
          <w:sz w:val="22"/>
        </w:rPr>
        <w:t>gegenüber dem Vorjahr leicht rückläufig.</w:t>
      </w:r>
    </w:p>
    <w:p w14:paraId="50D1F03B" w14:textId="77777777" w:rsidR="00E13A0A" w:rsidRPr="00F0323A" w:rsidRDefault="00E13A0A" w:rsidP="00E13A0A">
      <w:pPr>
        <w:rPr>
          <w:rFonts w:ascii="Arial" w:hAnsi="Arial" w:cs="Arial"/>
          <w:sz w:val="22"/>
          <w:highlight w:val="yellow"/>
        </w:rPr>
      </w:pPr>
    </w:p>
    <w:p w14:paraId="20F9E2C6" w14:textId="7EF825B2" w:rsidR="00E13A0A" w:rsidRPr="00F05D5F" w:rsidRDefault="00E13A0A" w:rsidP="00E13A0A">
      <w:pPr>
        <w:rPr>
          <w:rFonts w:ascii="Arial" w:hAnsi="Arial" w:cs="Arial"/>
          <w:sz w:val="22"/>
        </w:rPr>
      </w:pPr>
      <w:r w:rsidRPr="00F05D5F">
        <w:rPr>
          <w:rFonts w:ascii="Arial" w:hAnsi="Arial" w:cs="Arial"/>
          <w:sz w:val="22"/>
        </w:rPr>
        <w:t xml:space="preserve">Die durchschnittliche Nettokaltmiete der im Dezember </w:t>
      </w:r>
      <w:r w:rsidR="004A0118" w:rsidRPr="00F05D5F">
        <w:rPr>
          <w:rFonts w:ascii="Arial" w:hAnsi="Arial" w:cs="Arial"/>
          <w:sz w:val="22"/>
        </w:rPr>
        <w:t>202</w:t>
      </w:r>
      <w:r w:rsidR="004A0118">
        <w:rPr>
          <w:rFonts w:ascii="Arial" w:hAnsi="Arial" w:cs="Arial"/>
          <w:sz w:val="22"/>
        </w:rPr>
        <w:t>5</w:t>
      </w:r>
      <w:r w:rsidR="004A0118" w:rsidRPr="00F05D5F">
        <w:rPr>
          <w:rFonts w:ascii="Arial" w:hAnsi="Arial" w:cs="Arial"/>
          <w:sz w:val="22"/>
        </w:rPr>
        <w:t xml:space="preserve"> </w:t>
      </w:r>
      <w:r w:rsidRPr="00F05D5F">
        <w:rPr>
          <w:rFonts w:ascii="Arial" w:hAnsi="Arial" w:cs="Arial"/>
          <w:sz w:val="22"/>
        </w:rPr>
        <w:t xml:space="preserve">vermieteten Wohnungen in den Mitgliedsunternehmen des vtw ist im Jahr </w:t>
      </w:r>
      <w:r w:rsidR="004A0118" w:rsidRPr="00F05D5F">
        <w:rPr>
          <w:rFonts w:ascii="Arial" w:hAnsi="Arial" w:cs="Arial"/>
          <w:sz w:val="22"/>
        </w:rPr>
        <w:t>202</w:t>
      </w:r>
      <w:r w:rsidR="004A0118">
        <w:rPr>
          <w:rFonts w:ascii="Arial" w:hAnsi="Arial" w:cs="Arial"/>
          <w:sz w:val="22"/>
        </w:rPr>
        <w:t>5</w:t>
      </w:r>
      <w:r w:rsidR="004A0118" w:rsidRPr="00F05D5F">
        <w:rPr>
          <w:rFonts w:ascii="Arial" w:hAnsi="Arial" w:cs="Arial"/>
          <w:sz w:val="22"/>
        </w:rPr>
        <w:t xml:space="preserve"> </w:t>
      </w:r>
      <w:r w:rsidRPr="00F05D5F">
        <w:rPr>
          <w:rFonts w:ascii="Arial" w:hAnsi="Arial" w:cs="Arial"/>
          <w:sz w:val="22"/>
        </w:rPr>
        <w:t>im Vergleich mit dem Vorjahr um 2,</w:t>
      </w:r>
      <w:r w:rsidR="004A0118">
        <w:rPr>
          <w:rFonts w:ascii="Arial" w:hAnsi="Arial" w:cs="Arial"/>
          <w:sz w:val="22"/>
        </w:rPr>
        <w:t>1</w:t>
      </w:r>
      <w:r w:rsidR="004A0118" w:rsidRPr="00F05D5F">
        <w:rPr>
          <w:rFonts w:ascii="Arial" w:hAnsi="Arial" w:cs="Arial"/>
          <w:sz w:val="22"/>
        </w:rPr>
        <w:t xml:space="preserve"> </w:t>
      </w:r>
      <w:r w:rsidRPr="00F05D5F">
        <w:rPr>
          <w:rFonts w:ascii="Arial" w:hAnsi="Arial" w:cs="Arial"/>
          <w:sz w:val="22"/>
        </w:rPr>
        <w:t>% auf 5,</w:t>
      </w:r>
      <w:r w:rsidR="004A0118">
        <w:rPr>
          <w:rFonts w:ascii="Arial" w:hAnsi="Arial" w:cs="Arial"/>
          <w:sz w:val="22"/>
        </w:rPr>
        <w:t>75</w:t>
      </w:r>
      <w:r w:rsidR="004A0118" w:rsidRPr="00F05D5F">
        <w:rPr>
          <w:rFonts w:ascii="Arial" w:hAnsi="Arial" w:cs="Arial"/>
          <w:sz w:val="22"/>
        </w:rPr>
        <w:t xml:space="preserve"> </w:t>
      </w:r>
      <w:r>
        <w:rPr>
          <w:rFonts w:ascii="Arial" w:hAnsi="Arial" w:cs="Arial"/>
          <w:sz w:val="22"/>
        </w:rPr>
        <w:t>€</w:t>
      </w:r>
      <w:r w:rsidRPr="00F05D5F">
        <w:rPr>
          <w:rFonts w:ascii="Arial" w:hAnsi="Arial" w:cs="Arial"/>
          <w:sz w:val="22"/>
        </w:rPr>
        <w:t>/m² monatlich gestiegen (</w:t>
      </w:r>
      <w:r w:rsidR="004A0118" w:rsidRPr="00F05D5F">
        <w:rPr>
          <w:rFonts w:ascii="Arial" w:hAnsi="Arial" w:cs="Arial"/>
          <w:sz w:val="22"/>
        </w:rPr>
        <w:t>202</w:t>
      </w:r>
      <w:r w:rsidR="004A0118">
        <w:rPr>
          <w:rFonts w:ascii="Arial" w:hAnsi="Arial" w:cs="Arial"/>
          <w:sz w:val="22"/>
        </w:rPr>
        <w:t>4</w:t>
      </w:r>
      <w:r w:rsidRPr="00F05D5F">
        <w:rPr>
          <w:rFonts w:ascii="Arial" w:hAnsi="Arial" w:cs="Arial"/>
          <w:sz w:val="22"/>
        </w:rPr>
        <w:t>: 5,</w:t>
      </w:r>
      <w:r w:rsidR="004A0118">
        <w:rPr>
          <w:rFonts w:ascii="Arial" w:hAnsi="Arial" w:cs="Arial"/>
          <w:sz w:val="22"/>
        </w:rPr>
        <w:t>63</w:t>
      </w:r>
      <w:r w:rsidR="004A0118" w:rsidRPr="00F05D5F">
        <w:rPr>
          <w:rFonts w:ascii="Arial" w:hAnsi="Arial" w:cs="Arial"/>
          <w:sz w:val="22"/>
        </w:rPr>
        <w:t xml:space="preserve"> </w:t>
      </w:r>
      <w:r>
        <w:rPr>
          <w:rFonts w:ascii="Arial" w:hAnsi="Arial" w:cs="Arial"/>
          <w:sz w:val="22"/>
        </w:rPr>
        <w:t>€</w:t>
      </w:r>
      <w:r w:rsidRPr="00F05D5F">
        <w:rPr>
          <w:rFonts w:ascii="Arial" w:hAnsi="Arial" w:cs="Arial"/>
          <w:sz w:val="22"/>
        </w:rPr>
        <w:t xml:space="preserve">/m²). Die Vorauszahlungen für kalte Betriebskosten im Dezember stiegen um </w:t>
      </w:r>
      <w:r w:rsidR="00D06004">
        <w:rPr>
          <w:rFonts w:ascii="Arial" w:hAnsi="Arial" w:cs="Arial"/>
          <w:sz w:val="22"/>
        </w:rPr>
        <w:t>4,1</w:t>
      </w:r>
      <w:r w:rsidRPr="00F05D5F">
        <w:rPr>
          <w:rFonts w:ascii="Arial" w:hAnsi="Arial" w:cs="Arial"/>
          <w:sz w:val="22"/>
        </w:rPr>
        <w:t>% auf 1,</w:t>
      </w:r>
      <w:r w:rsidR="004A0118">
        <w:rPr>
          <w:rFonts w:ascii="Arial" w:hAnsi="Arial" w:cs="Arial"/>
          <w:sz w:val="22"/>
        </w:rPr>
        <w:t>54</w:t>
      </w:r>
      <w:r w:rsidRPr="00F05D5F">
        <w:rPr>
          <w:rFonts w:ascii="Arial" w:hAnsi="Arial" w:cs="Arial"/>
          <w:sz w:val="22"/>
        </w:rPr>
        <w:t xml:space="preserve">, </w:t>
      </w:r>
      <w:r>
        <w:rPr>
          <w:rFonts w:ascii="Arial" w:hAnsi="Arial" w:cs="Arial"/>
          <w:sz w:val="22"/>
        </w:rPr>
        <w:t>€</w:t>
      </w:r>
      <w:r w:rsidRPr="00F05D5F">
        <w:rPr>
          <w:rFonts w:ascii="Arial" w:hAnsi="Arial" w:cs="Arial"/>
          <w:sz w:val="22"/>
        </w:rPr>
        <w:t>/m² (</w:t>
      </w:r>
      <w:r w:rsidR="004A0118" w:rsidRPr="00F05D5F">
        <w:rPr>
          <w:rFonts w:ascii="Arial" w:hAnsi="Arial" w:cs="Arial"/>
          <w:sz w:val="22"/>
        </w:rPr>
        <w:t>202</w:t>
      </w:r>
      <w:r w:rsidR="004A0118">
        <w:rPr>
          <w:rFonts w:ascii="Arial" w:hAnsi="Arial" w:cs="Arial"/>
          <w:sz w:val="22"/>
        </w:rPr>
        <w:t>4</w:t>
      </w:r>
      <w:r w:rsidRPr="00F05D5F">
        <w:rPr>
          <w:rFonts w:ascii="Arial" w:hAnsi="Arial" w:cs="Arial"/>
          <w:sz w:val="22"/>
        </w:rPr>
        <w:t>: 1,</w:t>
      </w:r>
      <w:r w:rsidR="004A0118" w:rsidRPr="00F05D5F">
        <w:rPr>
          <w:rFonts w:ascii="Arial" w:hAnsi="Arial" w:cs="Arial"/>
          <w:sz w:val="22"/>
        </w:rPr>
        <w:t>4</w:t>
      </w:r>
      <w:r w:rsidR="004A0118">
        <w:rPr>
          <w:rFonts w:ascii="Arial" w:hAnsi="Arial" w:cs="Arial"/>
          <w:sz w:val="22"/>
        </w:rPr>
        <w:t>8</w:t>
      </w:r>
      <w:r w:rsidR="004A0118" w:rsidRPr="00F05D5F">
        <w:rPr>
          <w:rFonts w:ascii="Arial" w:hAnsi="Arial" w:cs="Arial"/>
          <w:sz w:val="22"/>
        </w:rPr>
        <w:t xml:space="preserve"> </w:t>
      </w:r>
      <w:r>
        <w:rPr>
          <w:rFonts w:ascii="Arial" w:hAnsi="Arial" w:cs="Arial"/>
          <w:sz w:val="22"/>
        </w:rPr>
        <w:t>€</w:t>
      </w:r>
      <w:r w:rsidRPr="00F05D5F">
        <w:rPr>
          <w:rFonts w:ascii="Arial" w:hAnsi="Arial" w:cs="Arial"/>
          <w:sz w:val="22"/>
        </w:rPr>
        <w:t xml:space="preserve">/m²). Die Vorauszahlungen für Heiz- und Warmwasserkosten </w:t>
      </w:r>
      <w:r w:rsidR="004A0118">
        <w:rPr>
          <w:rFonts w:ascii="Arial" w:hAnsi="Arial" w:cs="Arial"/>
          <w:sz w:val="22"/>
        </w:rPr>
        <w:t xml:space="preserve">sind </w:t>
      </w:r>
      <w:r>
        <w:rPr>
          <w:rFonts w:ascii="Arial" w:hAnsi="Arial" w:cs="Arial"/>
          <w:sz w:val="22"/>
        </w:rPr>
        <w:t>mit</w:t>
      </w:r>
      <w:r w:rsidRPr="00F05D5F">
        <w:rPr>
          <w:rFonts w:ascii="Arial" w:hAnsi="Arial" w:cs="Arial"/>
          <w:sz w:val="22"/>
        </w:rPr>
        <w:t xml:space="preserve"> durchschnittlich 1,</w:t>
      </w:r>
      <w:r w:rsidR="004A0118">
        <w:rPr>
          <w:rFonts w:ascii="Arial" w:hAnsi="Arial" w:cs="Arial"/>
          <w:sz w:val="22"/>
        </w:rPr>
        <w:t>68</w:t>
      </w:r>
      <w:r w:rsidR="004A0118" w:rsidRPr="00F05D5F">
        <w:rPr>
          <w:rFonts w:ascii="Arial" w:hAnsi="Arial" w:cs="Arial"/>
          <w:sz w:val="22"/>
        </w:rPr>
        <w:t> </w:t>
      </w:r>
      <w:r>
        <w:rPr>
          <w:rFonts w:ascii="Arial" w:hAnsi="Arial" w:cs="Arial"/>
          <w:sz w:val="22"/>
        </w:rPr>
        <w:t>€</w:t>
      </w:r>
      <w:r w:rsidRPr="00F05D5F">
        <w:rPr>
          <w:rFonts w:ascii="Arial" w:hAnsi="Arial" w:cs="Arial"/>
          <w:sz w:val="22"/>
        </w:rPr>
        <w:t>/m²</w:t>
      </w:r>
      <w:r>
        <w:rPr>
          <w:rFonts w:ascii="Arial" w:hAnsi="Arial" w:cs="Arial"/>
          <w:sz w:val="22"/>
        </w:rPr>
        <w:t xml:space="preserve"> </w:t>
      </w:r>
      <w:r w:rsidR="004A0118">
        <w:rPr>
          <w:rFonts w:ascii="Arial" w:hAnsi="Arial" w:cs="Arial"/>
          <w:sz w:val="22"/>
        </w:rPr>
        <w:t>leicht angestiegen</w:t>
      </w:r>
      <w:r w:rsidRPr="00F05D5F">
        <w:rPr>
          <w:rFonts w:ascii="Arial" w:hAnsi="Arial" w:cs="Arial"/>
          <w:sz w:val="22"/>
        </w:rPr>
        <w:t xml:space="preserve">. </w:t>
      </w:r>
    </w:p>
    <w:p w14:paraId="2D7D8984" w14:textId="77777777" w:rsidR="00E13A0A" w:rsidRPr="00F0323A" w:rsidRDefault="00E13A0A" w:rsidP="00E13A0A">
      <w:pPr>
        <w:rPr>
          <w:rFonts w:ascii="Arial" w:hAnsi="Arial" w:cs="Arial"/>
          <w:sz w:val="22"/>
          <w:highlight w:val="yellow"/>
        </w:rPr>
      </w:pPr>
    </w:p>
    <w:p w14:paraId="441160A6" w14:textId="237DF867" w:rsidR="00E13A0A" w:rsidRPr="0093356A" w:rsidRDefault="00E13A0A" w:rsidP="00E13A0A">
      <w:pPr>
        <w:rPr>
          <w:rFonts w:ascii="Arial" w:hAnsi="Arial" w:cs="Arial"/>
          <w:sz w:val="22"/>
        </w:rPr>
      </w:pPr>
      <w:r w:rsidRPr="09A901CF">
        <w:rPr>
          <w:rFonts w:ascii="Arial" w:hAnsi="Arial" w:cs="Arial"/>
          <w:sz w:val="22"/>
        </w:rPr>
        <w:t xml:space="preserve">Im Jahr </w:t>
      </w:r>
      <w:r w:rsidR="004A0118" w:rsidRPr="09A901CF">
        <w:rPr>
          <w:rFonts w:ascii="Arial" w:hAnsi="Arial" w:cs="Arial"/>
          <w:sz w:val="22"/>
        </w:rPr>
        <w:t>202</w:t>
      </w:r>
      <w:r w:rsidR="004A0118">
        <w:rPr>
          <w:rFonts w:ascii="Arial" w:hAnsi="Arial" w:cs="Arial"/>
          <w:sz w:val="22"/>
        </w:rPr>
        <w:t>5</w:t>
      </w:r>
      <w:r w:rsidR="004A0118" w:rsidRPr="09A901CF">
        <w:rPr>
          <w:rFonts w:ascii="Arial" w:hAnsi="Arial" w:cs="Arial"/>
          <w:sz w:val="22"/>
        </w:rPr>
        <w:t xml:space="preserve"> </w:t>
      </w:r>
      <w:r w:rsidR="004A0118">
        <w:rPr>
          <w:rFonts w:ascii="Arial" w:hAnsi="Arial" w:cs="Arial"/>
          <w:sz w:val="22"/>
        </w:rPr>
        <w:t xml:space="preserve">ist </w:t>
      </w:r>
      <w:r>
        <w:rPr>
          <w:rFonts w:ascii="Arial" w:hAnsi="Arial" w:cs="Arial"/>
          <w:sz w:val="22"/>
        </w:rPr>
        <w:t>die</w:t>
      </w:r>
      <w:r w:rsidRPr="09A901CF">
        <w:rPr>
          <w:rFonts w:ascii="Arial" w:hAnsi="Arial" w:cs="Arial"/>
          <w:sz w:val="22"/>
        </w:rPr>
        <w:t xml:space="preserve"> Leerstandquote </w:t>
      </w:r>
      <w:r w:rsidR="004A0118">
        <w:rPr>
          <w:rFonts w:ascii="Arial" w:hAnsi="Arial" w:cs="Arial"/>
          <w:sz w:val="22"/>
        </w:rPr>
        <w:t xml:space="preserve">minimal auf </w:t>
      </w:r>
      <w:r w:rsidR="00D06004">
        <w:rPr>
          <w:rFonts w:ascii="Arial" w:hAnsi="Arial" w:cs="Arial"/>
          <w:sz w:val="22"/>
        </w:rPr>
        <w:t>7</w:t>
      </w:r>
      <w:r w:rsidR="004A0118">
        <w:rPr>
          <w:rFonts w:ascii="Arial" w:hAnsi="Arial" w:cs="Arial"/>
          <w:sz w:val="22"/>
        </w:rPr>
        <w:t>,</w:t>
      </w:r>
      <w:r w:rsidR="00D06004">
        <w:rPr>
          <w:rFonts w:ascii="Arial" w:hAnsi="Arial" w:cs="Arial"/>
          <w:sz w:val="22"/>
        </w:rPr>
        <w:t>9</w:t>
      </w:r>
      <w:r w:rsidR="004A0118">
        <w:rPr>
          <w:rFonts w:ascii="Arial" w:hAnsi="Arial" w:cs="Arial"/>
          <w:sz w:val="22"/>
        </w:rPr>
        <w:t xml:space="preserve"> </w:t>
      </w:r>
      <w:r w:rsidRPr="09A901CF">
        <w:rPr>
          <w:rFonts w:ascii="Arial" w:hAnsi="Arial" w:cs="Arial"/>
          <w:sz w:val="22"/>
        </w:rPr>
        <w:t>%</w:t>
      </w:r>
      <w:r w:rsidR="004A0118">
        <w:rPr>
          <w:rFonts w:ascii="Arial" w:hAnsi="Arial" w:cs="Arial"/>
          <w:sz w:val="22"/>
        </w:rPr>
        <w:t xml:space="preserve"> angestiegen</w:t>
      </w:r>
      <w:r w:rsidRPr="09A901CF">
        <w:rPr>
          <w:rFonts w:ascii="Arial" w:hAnsi="Arial" w:cs="Arial"/>
          <w:sz w:val="22"/>
        </w:rPr>
        <w:t xml:space="preserve">. In den Städten Erfurt, Jena und Weimar </w:t>
      </w:r>
      <w:r>
        <w:rPr>
          <w:rFonts w:ascii="Arial" w:hAnsi="Arial" w:cs="Arial"/>
          <w:sz w:val="22"/>
        </w:rPr>
        <w:t xml:space="preserve">beträgt die Quote wie in </w:t>
      </w:r>
      <w:r w:rsidR="004A0118">
        <w:rPr>
          <w:rFonts w:ascii="Arial" w:hAnsi="Arial" w:cs="Arial"/>
          <w:sz w:val="22"/>
        </w:rPr>
        <w:t>202</w:t>
      </w:r>
      <w:r w:rsidR="004A0118">
        <w:rPr>
          <w:rFonts w:ascii="Arial" w:hAnsi="Arial" w:cs="Arial"/>
          <w:sz w:val="22"/>
        </w:rPr>
        <w:t>4</w:t>
      </w:r>
      <w:r w:rsidR="004A0118">
        <w:rPr>
          <w:rFonts w:ascii="Arial" w:hAnsi="Arial" w:cs="Arial"/>
          <w:sz w:val="22"/>
        </w:rPr>
        <w:t xml:space="preserve"> </w:t>
      </w:r>
      <w:r>
        <w:rPr>
          <w:rFonts w:ascii="Arial" w:hAnsi="Arial" w:cs="Arial"/>
          <w:sz w:val="22"/>
        </w:rPr>
        <w:t>4,0%</w:t>
      </w:r>
      <w:r w:rsidRPr="09A901CF">
        <w:rPr>
          <w:rFonts w:ascii="Arial" w:hAnsi="Arial" w:cs="Arial"/>
          <w:sz w:val="22"/>
        </w:rPr>
        <w:t xml:space="preserve">. Im ländlichen Raum </w:t>
      </w:r>
      <w:r>
        <w:rPr>
          <w:rFonts w:ascii="Arial" w:hAnsi="Arial" w:cs="Arial"/>
          <w:sz w:val="22"/>
        </w:rPr>
        <w:t>gab es einen leichten Anstieg von</w:t>
      </w:r>
      <w:r w:rsidRPr="09A901CF">
        <w:rPr>
          <w:rFonts w:ascii="Arial" w:hAnsi="Arial" w:cs="Arial"/>
          <w:sz w:val="22"/>
        </w:rPr>
        <w:t xml:space="preserve"> 9,5% </w:t>
      </w:r>
      <w:proofErr w:type="gramStart"/>
      <w:r w:rsidRPr="09A901CF">
        <w:rPr>
          <w:rFonts w:ascii="Arial" w:hAnsi="Arial" w:cs="Arial"/>
          <w:sz w:val="22"/>
        </w:rPr>
        <w:t xml:space="preserve">in </w:t>
      </w:r>
      <w:r w:rsidR="00D06004" w:rsidRPr="09A901CF">
        <w:rPr>
          <w:rFonts w:ascii="Arial" w:hAnsi="Arial" w:cs="Arial"/>
          <w:sz w:val="22"/>
        </w:rPr>
        <w:t>202</w:t>
      </w:r>
      <w:r w:rsidR="00D06004">
        <w:rPr>
          <w:rFonts w:ascii="Arial" w:hAnsi="Arial" w:cs="Arial"/>
          <w:sz w:val="22"/>
        </w:rPr>
        <w:t>4</w:t>
      </w:r>
      <w:proofErr w:type="gramEnd"/>
      <w:r w:rsidR="00D06004" w:rsidRPr="09A901CF">
        <w:rPr>
          <w:rFonts w:ascii="Arial" w:hAnsi="Arial" w:cs="Arial"/>
          <w:sz w:val="22"/>
        </w:rPr>
        <w:t xml:space="preserve"> </w:t>
      </w:r>
      <w:r>
        <w:rPr>
          <w:rFonts w:ascii="Arial" w:hAnsi="Arial" w:cs="Arial"/>
          <w:sz w:val="22"/>
        </w:rPr>
        <w:t>auf 9,</w:t>
      </w:r>
      <w:r w:rsidR="00D06004">
        <w:rPr>
          <w:rFonts w:ascii="Arial" w:hAnsi="Arial" w:cs="Arial"/>
          <w:sz w:val="22"/>
        </w:rPr>
        <w:t>7</w:t>
      </w:r>
      <w:r>
        <w:rPr>
          <w:rFonts w:ascii="Arial" w:hAnsi="Arial" w:cs="Arial"/>
          <w:sz w:val="22"/>
        </w:rPr>
        <w:t>%</w:t>
      </w:r>
    </w:p>
    <w:p w14:paraId="11D3FDC4" w14:textId="77777777" w:rsidR="00F57152" w:rsidRDefault="00F57152" w:rsidP="00F57152">
      <w:pPr>
        <w:rPr>
          <w:rFonts w:ascii="Arial" w:hAnsi="Arial" w:cs="Arial"/>
          <w:sz w:val="22"/>
        </w:rPr>
      </w:pPr>
    </w:p>
    <w:p w14:paraId="7BFA1805" w14:textId="77777777" w:rsidR="00F57152" w:rsidRDefault="00F57152" w:rsidP="00F57152">
      <w:pPr>
        <w:rPr>
          <w:rFonts w:ascii="Arial" w:hAnsi="Arial" w:cs="Arial"/>
          <w:sz w:val="22"/>
        </w:rPr>
      </w:pPr>
    </w:p>
    <w:p w14:paraId="26039572" w14:textId="77777777" w:rsidR="00123A23" w:rsidRDefault="00123A23" w:rsidP="00F57152">
      <w:pPr>
        <w:rPr>
          <w:rFonts w:ascii="Arial" w:eastAsia="Times New Roman" w:hAnsi="Arial" w:cs="Arial"/>
          <w:b/>
          <w:i/>
          <w:iCs/>
          <w:sz w:val="22"/>
          <w:lang w:eastAsia="de-DE"/>
        </w:rPr>
      </w:pPr>
    </w:p>
    <w:p w14:paraId="0900139E" w14:textId="77777777" w:rsidR="00123A23" w:rsidRDefault="00123A23" w:rsidP="00F57152">
      <w:pPr>
        <w:rPr>
          <w:rFonts w:ascii="Arial" w:eastAsia="Times New Roman" w:hAnsi="Arial" w:cs="Arial"/>
          <w:b/>
          <w:i/>
          <w:iCs/>
          <w:sz w:val="22"/>
          <w:lang w:eastAsia="de-DE"/>
        </w:rPr>
      </w:pPr>
    </w:p>
    <w:p w14:paraId="0619807D" w14:textId="77777777" w:rsidR="00123A23" w:rsidRDefault="00123A23" w:rsidP="00F57152">
      <w:pPr>
        <w:rPr>
          <w:rFonts w:ascii="Arial" w:eastAsia="Times New Roman" w:hAnsi="Arial" w:cs="Arial"/>
          <w:b/>
          <w:i/>
          <w:iCs/>
          <w:sz w:val="22"/>
          <w:lang w:eastAsia="de-DE"/>
        </w:rPr>
      </w:pPr>
    </w:p>
    <w:p w14:paraId="1B3439CA" w14:textId="77777777" w:rsidR="00123A23" w:rsidRDefault="00123A23" w:rsidP="00F57152">
      <w:pPr>
        <w:rPr>
          <w:rFonts w:ascii="Arial" w:eastAsia="Times New Roman" w:hAnsi="Arial" w:cs="Arial"/>
          <w:b/>
          <w:i/>
          <w:iCs/>
          <w:sz w:val="22"/>
          <w:lang w:eastAsia="de-DE"/>
        </w:rPr>
      </w:pPr>
    </w:p>
    <w:p w14:paraId="3D8AA95C" w14:textId="77777777" w:rsidR="006D032B" w:rsidRDefault="006D032B" w:rsidP="00F57152">
      <w:pPr>
        <w:rPr>
          <w:rFonts w:ascii="Arial" w:eastAsia="Times New Roman" w:hAnsi="Arial" w:cs="Arial"/>
          <w:b/>
          <w:i/>
          <w:iCs/>
          <w:sz w:val="22"/>
          <w:lang w:eastAsia="de-DE"/>
        </w:rPr>
      </w:pPr>
    </w:p>
    <w:p w14:paraId="2FED2043" w14:textId="77777777" w:rsidR="006D032B" w:rsidRDefault="006D032B" w:rsidP="00F57152">
      <w:pPr>
        <w:rPr>
          <w:rFonts w:ascii="Arial" w:eastAsia="Times New Roman" w:hAnsi="Arial" w:cs="Arial"/>
          <w:b/>
          <w:i/>
          <w:iCs/>
          <w:sz w:val="22"/>
          <w:lang w:eastAsia="de-DE"/>
        </w:rPr>
      </w:pPr>
    </w:p>
    <w:p w14:paraId="694FD2C9" w14:textId="77777777" w:rsidR="006D032B" w:rsidRDefault="006D032B" w:rsidP="00F57152">
      <w:pPr>
        <w:rPr>
          <w:rFonts w:ascii="Arial" w:eastAsia="Times New Roman" w:hAnsi="Arial" w:cs="Arial"/>
          <w:b/>
          <w:i/>
          <w:iCs/>
          <w:sz w:val="22"/>
          <w:lang w:eastAsia="de-DE"/>
        </w:rPr>
      </w:pPr>
    </w:p>
    <w:p w14:paraId="2BE46352" w14:textId="77777777" w:rsidR="006D032B" w:rsidRDefault="006D032B" w:rsidP="00F57152">
      <w:pPr>
        <w:rPr>
          <w:rFonts w:ascii="Arial" w:eastAsia="Times New Roman" w:hAnsi="Arial" w:cs="Arial"/>
          <w:b/>
          <w:i/>
          <w:iCs/>
          <w:sz w:val="22"/>
          <w:lang w:eastAsia="de-DE"/>
        </w:rPr>
      </w:pPr>
    </w:p>
    <w:p w14:paraId="1C941EAD" w14:textId="77777777" w:rsidR="006D032B" w:rsidRDefault="006D032B" w:rsidP="00F57152">
      <w:pPr>
        <w:rPr>
          <w:rFonts w:ascii="Arial" w:eastAsia="Times New Roman" w:hAnsi="Arial" w:cs="Arial"/>
          <w:b/>
          <w:i/>
          <w:iCs/>
          <w:sz w:val="22"/>
          <w:lang w:eastAsia="de-DE"/>
        </w:rPr>
      </w:pPr>
    </w:p>
    <w:p w14:paraId="60642F0C" w14:textId="77777777" w:rsidR="006D032B" w:rsidRDefault="006D032B" w:rsidP="00F57152">
      <w:pPr>
        <w:rPr>
          <w:rFonts w:ascii="Arial" w:eastAsia="Times New Roman" w:hAnsi="Arial" w:cs="Arial"/>
          <w:b/>
          <w:i/>
          <w:iCs/>
          <w:sz w:val="22"/>
          <w:lang w:eastAsia="de-DE"/>
        </w:rPr>
      </w:pPr>
    </w:p>
    <w:p w14:paraId="57EAC0F8" w14:textId="77777777" w:rsidR="00123A23" w:rsidRDefault="00123A23" w:rsidP="2C14A910">
      <w:pPr>
        <w:rPr>
          <w:rFonts w:ascii="Arial" w:eastAsia="Times New Roman" w:hAnsi="Arial" w:cs="Arial"/>
          <w:b/>
          <w:bCs/>
          <w:i/>
          <w:iCs/>
          <w:sz w:val="22"/>
          <w:lang w:eastAsia="de-DE"/>
        </w:rPr>
      </w:pPr>
    </w:p>
    <w:p w14:paraId="1601472E" w14:textId="7425E814" w:rsidR="2C14A910" w:rsidRDefault="2C14A910" w:rsidP="2C14A910">
      <w:pPr>
        <w:rPr>
          <w:rFonts w:ascii="Arial" w:eastAsia="Times New Roman" w:hAnsi="Arial" w:cs="Arial"/>
          <w:b/>
          <w:bCs/>
          <w:i/>
          <w:iCs/>
          <w:sz w:val="22"/>
          <w:lang w:eastAsia="de-DE"/>
        </w:rPr>
      </w:pPr>
    </w:p>
    <w:p w14:paraId="75B5B9E9" w14:textId="77777777" w:rsidR="00123A23" w:rsidRDefault="00123A23" w:rsidP="00F57152">
      <w:pPr>
        <w:rPr>
          <w:rFonts w:ascii="Arial" w:eastAsia="Times New Roman" w:hAnsi="Arial" w:cs="Arial"/>
          <w:b/>
          <w:i/>
          <w:iCs/>
          <w:sz w:val="22"/>
          <w:lang w:eastAsia="de-DE"/>
        </w:rPr>
      </w:pPr>
    </w:p>
    <w:p w14:paraId="54ABD68B" w14:textId="77777777" w:rsidR="00123A23" w:rsidRDefault="00123A23" w:rsidP="00F57152">
      <w:pPr>
        <w:rPr>
          <w:rFonts w:ascii="Arial" w:eastAsia="Times New Roman" w:hAnsi="Arial" w:cs="Arial"/>
          <w:b/>
          <w:i/>
          <w:iCs/>
          <w:sz w:val="22"/>
          <w:lang w:eastAsia="de-DE"/>
        </w:rPr>
      </w:pPr>
    </w:p>
    <w:p w14:paraId="5AE90813" w14:textId="77777777" w:rsidR="00123A23" w:rsidRDefault="00123A23" w:rsidP="00F57152">
      <w:pPr>
        <w:rPr>
          <w:rFonts w:ascii="Arial" w:eastAsia="Times New Roman" w:hAnsi="Arial" w:cs="Arial"/>
          <w:b/>
          <w:i/>
          <w:iCs/>
          <w:sz w:val="22"/>
          <w:lang w:eastAsia="de-DE"/>
        </w:rPr>
      </w:pPr>
    </w:p>
    <w:p w14:paraId="7006BDF3" w14:textId="5A5A728A" w:rsidR="000617F0" w:rsidRPr="000617F0" w:rsidRDefault="000617F0" w:rsidP="00F57152">
      <w:pPr>
        <w:rPr>
          <w:rFonts w:ascii="Arial" w:eastAsia="Times New Roman" w:hAnsi="Arial" w:cs="Arial"/>
          <w:i/>
          <w:iCs/>
          <w:sz w:val="22"/>
          <w:lang w:eastAsia="de-DE"/>
        </w:rPr>
      </w:pPr>
      <w:r w:rsidRPr="000617F0">
        <w:rPr>
          <w:rFonts w:ascii="Arial" w:eastAsia="Times New Roman" w:hAnsi="Arial" w:cs="Arial"/>
          <w:b/>
          <w:i/>
          <w:iCs/>
          <w:sz w:val="22"/>
          <w:lang w:eastAsia="de-DE"/>
        </w:rPr>
        <w:t>Betriebswirtschaftliche Branchenentwicklung</w:t>
      </w:r>
      <w:r w:rsidR="00AD553A" w:rsidRPr="00AD553A">
        <w:t xml:space="preserve"> </w:t>
      </w:r>
      <w:r w:rsidR="00AD553A" w:rsidRPr="00AD553A">
        <w:rPr>
          <w:rFonts w:ascii="Arial" w:eastAsia="Times New Roman" w:hAnsi="Arial" w:cs="Arial"/>
          <w:b/>
          <w:i/>
          <w:iCs/>
          <w:sz w:val="22"/>
          <w:lang w:eastAsia="de-DE"/>
        </w:rPr>
        <w:t>in den Mitgliedsunternehmen des vtw</w:t>
      </w:r>
    </w:p>
    <w:p w14:paraId="4DB1FC2D" w14:textId="77777777" w:rsidR="000617F0" w:rsidRPr="00730F45" w:rsidRDefault="000617F0" w:rsidP="00123A23">
      <w:pPr>
        <w:rPr>
          <w:rFonts w:ascii="Arial" w:eastAsia="Times New Roman" w:hAnsi="Arial" w:cs="Arial"/>
          <w:sz w:val="22"/>
          <w:lang w:eastAsia="de-DE"/>
        </w:rPr>
      </w:pPr>
    </w:p>
    <w:p w14:paraId="451D70A0" w14:textId="77777777" w:rsidR="00D06004" w:rsidRPr="00D06004" w:rsidRDefault="00D06004" w:rsidP="00D06004">
      <w:pPr>
        <w:rPr>
          <w:rFonts w:ascii="Arial" w:hAnsi="Arial" w:cs="Arial"/>
          <w:sz w:val="22"/>
        </w:rPr>
      </w:pPr>
      <w:r w:rsidRPr="00D06004">
        <w:rPr>
          <w:rFonts w:ascii="Arial" w:hAnsi="Arial" w:cs="Arial"/>
          <w:sz w:val="22"/>
        </w:rPr>
        <w:t xml:space="preserve">Die mittlere monatliche Sollmiete (Median) der erfassten Unternehmen lag im Jahr 2024 bei 5,27 Euro/m² (2023: 5,13 Euro/m. Die Werte der einzelnen Unternehmen reichten von 4,14 Euro/m² in einem kleinen Unternehmen im ländlichen Raum bis 7,00 Euro/m² in einem Unter-nehmen mit einem besonderen Wohnungsbestand in einer großen Stadt. Im Jahr 2023 ist erneut ein deutlicher Anstieg der durchschnittlichen monatlichen Betriebs- und Heizkosten zu verzeichnen. Die Spanne reichte von 1,04 Euro/m² bis zu 3,61 Euro/m². </w:t>
      </w:r>
    </w:p>
    <w:p w14:paraId="157692BA" w14:textId="77777777" w:rsidR="00D06004" w:rsidRPr="00D06004" w:rsidRDefault="00D06004" w:rsidP="00D06004">
      <w:pPr>
        <w:rPr>
          <w:rFonts w:ascii="Arial" w:hAnsi="Arial" w:cs="Arial"/>
          <w:sz w:val="22"/>
        </w:rPr>
      </w:pPr>
    </w:p>
    <w:p w14:paraId="00E7B2EE" w14:textId="77777777" w:rsidR="00D06004" w:rsidRPr="00D06004" w:rsidRDefault="00D06004" w:rsidP="00D06004">
      <w:pPr>
        <w:rPr>
          <w:rFonts w:ascii="Arial" w:hAnsi="Arial" w:cs="Arial"/>
          <w:sz w:val="22"/>
        </w:rPr>
      </w:pPr>
      <w:r w:rsidRPr="00D06004">
        <w:rPr>
          <w:rFonts w:ascii="Arial" w:hAnsi="Arial" w:cs="Arial"/>
          <w:sz w:val="22"/>
        </w:rPr>
        <w:t xml:space="preserve">Die Vermietungssituation hat sich nach den deutlichen Rückgängen des Leerstandes im Jahr </w:t>
      </w:r>
    </w:p>
    <w:p w14:paraId="53C80144" w14:textId="77777777" w:rsidR="00D06004" w:rsidRPr="00D06004" w:rsidRDefault="00D06004" w:rsidP="00D06004">
      <w:pPr>
        <w:rPr>
          <w:rFonts w:ascii="Arial" w:hAnsi="Arial" w:cs="Arial"/>
          <w:sz w:val="22"/>
        </w:rPr>
      </w:pPr>
      <w:r w:rsidRPr="00D06004">
        <w:rPr>
          <w:rFonts w:ascii="Arial" w:hAnsi="Arial" w:cs="Arial"/>
          <w:sz w:val="22"/>
        </w:rPr>
        <w:t xml:space="preserve">2022, insbesondere bei den Kapitalgesellschaften, weitestgehend stabilisiert. Der Leerstand ist zusätzlich im Jahr 2024 leicht rückläufig. Die Wiedervermietungsquote, das Verhältnis von neu abgeschlossenen zu gekündigten Mietverhältnissen, lag im Mittel zwischen 98 und 100 %. Wobei eine Quote von 100 % ein ausgeglichenes Verhältnis anzeigt, d. h. gekündigte Wohnungen werden in gleicher Größenordnung wieder vermietet. Werte unter 100 % </w:t>
      </w:r>
      <w:proofErr w:type="spellStart"/>
      <w:r w:rsidRPr="00D06004">
        <w:rPr>
          <w:rFonts w:ascii="Arial" w:hAnsi="Arial" w:cs="Arial"/>
          <w:sz w:val="22"/>
        </w:rPr>
        <w:t>bedeu-ten</w:t>
      </w:r>
      <w:proofErr w:type="spellEnd"/>
      <w:r w:rsidRPr="00D06004">
        <w:rPr>
          <w:rFonts w:ascii="Arial" w:hAnsi="Arial" w:cs="Arial"/>
          <w:sz w:val="22"/>
        </w:rPr>
        <w:t xml:space="preserve">, dass mehr Wohnungen gekündigt als wieder vermietet werden, der Leerstand steigt. </w:t>
      </w:r>
    </w:p>
    <w:p w14:paraId="3AE57F5F" w14:textId="77777777" w:rsidR="00D06004" w:rsidRPr="00D06004" w:rsidRDefault="00D06004" w:rsidP="00D06004">
      <w:pPr>
        <w:rPr>
          <w:rFonts w:ascii="Arial" w:hAnsi="Arial" w:cs="Arial"/>
          <w:sz w:val="22"/>
        </w:rPr>
      </w:pPr>
    </w:p>
    <w:p w14:paraId="11543382" w14:textId="77777777" w:rsidR="00D06004" w:rsidRPr="00D06004" w:rsidRDefault="00D06004" w:rsidP="00D06004">
      <w:pPr>
        <w:rPr>
          <w:rFonts w:ascii="Arial" w:hAnsi="Arial" w:cs="Arial"/>
          <w:sz w:val="22"/>
        </w:rPr>
      </w:pPr>
      <w:r w:rsidRPr="00D06004">
        <w:rPr>
          <w:rFonts w:ascii="Arial" w:hAnsi="Arial" w:cs="Arial"/>
          <w:sz w:val="22"/>
        </w:rPr>
        <w:t>Korrespondierend mit der Höhe der Leerstandsquoten haben sich auch die Erlösschmäle-</w:t>
      </w:r>
      <w:proofErr w:type="spellStart"/>
      <w:r w:rsidRPr="00D06004">
        <w:rPr>
          <w:rFonts w:ascii="Arial" w:hAnsi="Arial" w:cs="Arial"/>
          <w:sz w:val="22"/>
        </w:rPr>
        <w:t>rungsquoten</w:t>
      </w:r>
      <w:proofErr w:type="spellEnd"/>
      <w:r w:rsidRPr="00D06004">
        <w:rPr>
          <w:rFonts w:ascii="Arial" w:hAnsi="Arial" w:cs="Arial"/>
          <w:sz w:val="22"/>
        </w:rPr>
        <w:t xml:space="preserve"> betreffend Mieten und Umlagen entwickelt. Der Median ist </w:t>
      </w:r>
      <w:proofErr w:type="gramStart"/>
      <w:r w:rsidRPr="00D06004">
        <w:rPr>
          <w:rFonts w:ascii="Arial" w:hAnsi="Arial" w:cs="Arial"/>
          <w:sz w:val="22"/>
        </w:rPr>
        <w:t>in 2024</w:t>
      </w:r>
      <w:proofErr w:type="gramEnd"/>
      <w:r w:rsidRPr="00D06004">
        <w:rPr>
          <w:rFonts w:ascii="Arial" w:hAnsi="Arial" w:cs="Arial"/>
          <w:sz w:val="22"/>
        </w:rPr>
        <w:t xml:space="preserve"> auf 4,3% (2023: 4,8%) gefallen. </w:t>
      </w:r>
    </w:p>
    <w:p w14:paraId="6648CD74" w14:textId="77777777" w:rsidR="00D06004" w:rsidRPr="00D06004" w:rsidRDefault="00D06004" w:rsidP="00D06004">
      <w:pPr>
        <w:rPr>
          <w:rFonts w:ascii="Arial" w:hAnsi="Arial" w:cs="Arial"/>
          <w:sz w:val="22"/>
        </w:rPr>
      </w:pPr>
    </w:p>
    <w:p w14:paraId="11FEC312" w14:textId="77777777" w:rsidR="00D06004" w:rsidRPr="00D06004" w:rsidRDefault="00D06004" w:rsidP="00D06004">
      <w:pPr>
        <w:rPr>
          <w:rFonts w:ascii="Arial" w:hAnsi="Arial" w:cs="Arial"/>
          <w:sz w:val="22"/>
        </w:rPr>
      </w:pPr>
    </w:p>
    <w:p w14:paraId="758E3A8A" w14:textId="77777777" w:rsidR="00D06004" w:rsidRPr="00D06004" w:rsidRDefault="00D06004" w:rsidP="00D06004">
      <w:pPr>
        <w:rPr>
          <w:rFonts w:ascii="Arial" w:hAnsi="Arial" w:cs="Arial"/>
          <w:sz w:val="22"/>
        </w:rPr>
      </w:pPr>
      <w:r w:rsidRPr="00D06004">
        <w:rPr>
          <w:rFonts w:ascii="Arial" w:hAnsi="Arial" w:cs="Arial"/>
          <w:sz w:val="22"/>
        </w:rPr>
        <w:lastRenderedPageBreak/>
        <w:t xml:space="preserve">Die Investitionen in den Bestand im Verhältnis Euro je m² sind im Jahr 2024 erneut </w:t>
      </w:r>
      <w:proofErr w:type="spellStart"/>
      <w:r w:rsidRPr="00D06004">
        <w:rPr>
          <w:rFonts w:ascii="Arial" w:hAnsi="Arial" w:cs="Arial"/>
          <w:sz w:val="22"/>
        </w:rPr>
        <w:t>angestie</w:t>
      </w:r>
      <w:proofErr w:type="spellEnd"/>
      <w:r w:rsidRPr="00D06004">
        <w:rPr>
          <w:rFonts w:ascii="Arial" w:hAnsi="Arial" w:cs="Arial"/>
          <w:sz w:val="22"/>
        </w:rPr>
        <w:t xml:space="preserve">-gen. Der Median liegt bei 28,09 Euro/m² und damit rund 1 Euro über 2023. </w:t>
      </w:r>
    </w:p>
    <w:p w14:paraId="6C68B864" w14:textId="77777777" w:rsidR="00D06004" w:rsidRPr="00D06004" w:rsidRDefault="00D06004" w:rsidP="00D06004">
      <w:pPr>
        <w:rPr>
          <w:rFonts w:ascii="Arial" w:hAnsi="Arial" w:cs="Arial"/>
          <w:sz w:val="22"/>
        </w:rPr>
      </w:pPr>
      <w:r w:rsidRPr="00D06004">
        <w:rPr>
          <w:rFonts w:ascii="Arial" w:hAnsi="Arial" w:cs="Arial"/>
          <w:sz w:val="22"/>
        </w:rPr>
        <w:t>Davon entfallen auf den Instandhaltungskostensatzes 19,17 Euro/m².</w:t>
      </w:r>
    </w:p>
    <w:p w14:paraId="0876C2B4" w14:textId="77777777" w:rsidR="00D06004" w:rsidRPr="00D06004" w:rsidRDefault="00D06004" w:rsidP="00D06004">
      <w:pPr>
        <w:rPr>
          <w:rFonts w:ascii="Arial" w:hAnsi="Arial" w:cs="Arial"/>
          <w:sz w:val="22"/>
        </w:rPr>
      </w:pPr>
      <w:r w:rsidRPr="00D06004">
        <w:rPr>
          <w:rFonts w:ascii="Arial" w:hAnsi="Arial" w:cs="Arial"/>
          <w:sz w:val="22"/>
        </w:rPr>
        <w:t xml:space="preserve">Der Schwellenwert für die Investitionen in den Bestand liegt laut vtw-Präventionsmanagement bei 25,00 Euro/m² jährlich. </w:t>
      </w:r>
    </w:p>
    <w:p w14:paraId="4F1815EF" w14:textId="77777777" w:rsidR="00D06004" w:rsidRPr="00D06004" w:rsidRDefault="00D06004" w:rsidP="00D06004">
      <w:pPr>
        <w:rPr>
          <w:rFonts w:ascii="Arial" w:hAnsi="Arial" w:cs="Arial"/>
          <w:sz w:val="22"/>
        </w:rPr>
      </w:pPr>
    </w:p>
    <w:p w14:paraId="6A0E418C" w14:textId="77777777" w:rsidR="00D06004" w:rsidRPr="00D06004" w:rsidRDefault="00D06004" w:rsidP="00D06004">
      <w:pPr>
        <w:rPr>
          <w:rFonts w:ascii="Arial" w:hAnsi="Arial" w:cs="Arial"/>
          <w:sz w:val="22"/>
        </w:rPr>
      </w:pPr>
      <w:r w:rsidRPr="00D06004">
        <w:rPr>
          <w:rFonts w:ascii="Arial" w:hAnsi="Arial" w:cs="Arial"/>
          <w:sz w:val="22"/>
        </w:rPr>
        <w:t xml:space="preserve">Deutlich zugenommen haben die Verwaltungskosten. Im Vergleich zu 2023 stieg der Median von 475 Euro je Einheit und Jahr auf 512 Euro. Der Durchschnitt stieg auf 535 Euro/Einheit an. Nach wie vor ist der Wert des Medians, so wie auch in den Vorjahren, niedriger als der arithmetische Mittelwert. Dies ist ein Zeichen dafür, dass es einige Unternehmen mit hohen Werten gibt, die sich auf den Mittelwert ausgewirkt haben. Die Spanne der </w:t>
      </w:r>
      <w:proofErr w:type="spellStart"/>
      <w:r w:rsidRPr="00D06004">
        <w:rPr>
          <w:rFonts w:ascii="Arial" w:hAnsi="Arial" w:cs="Arial"/>
          <w:sz w:val="22"/>
        </w:rPr>
        <w:t>Verwaltungskos-ten</w:t>
      </w:r>
      <w:proofErr w:type="spellEnd"/>
      <w:r w:rsidRPr="00D06004">
        <w:rPr>
          <w:rFonts w:ascii="Arial" w:hAnsi="Arial" w:cs="Arial"/>
          <w:sz w:val="22"/>
        </w:rPr>
        <w:t xml:space="preserve"> reicht von 319 bis 1.060 Euro/Einheit. </w:t>
      </w:r>
    </w:p>
    <w:p w14:paraId="3FF57BE4" w14:textId="77777777" w:rsidR="00D06004" w:rsidRPr="00D06004" w:rsidRDefault="00D06004" w:rsidP="00D06004">
      <w:pPr>
        <w:rPr>
          <w:rFonts w:ascii="Arial" w:hAnsi="Arial" w:cs="Arial"/>
          <w:sz w:val="22"/>
        </w:rPr>
      </w:pPr>
    </w:p>
    <w:p w14:paraId="479EA01C" w14:textId="77777777" w:rsidR="00D06004" w:rsidRPr="00D06004" w:rsidRDefault="00D06004" w:rsidP="00D06004">
      <w:pPr>
        <w:rPr>
          <w:rFonts w:ascii="Arial" w:hAnsi="Arial" w:cs="Arial"/>
          <w:sz w:val="22"/>
        </w:rPr>
      </w:pPr>
      <w:r w:rsidRPr="00D06004">
        <w:rPr>
          <w:rFonts w:ascii="Arial" w:hAnsi="Arial" w:cs="Arial"/>
          <w:sz w:val="22"/>
        </w:rPr>
        <w:t xml:space="preserve">Eine weitere Kennzahl zur Einschätzung von Produktivität und Kosten ist das EBITDA, das Ergebnis vor Steuern, Zinsen und Abschreibung, bezogen auf die Wohnnutzfläche. Dieses betrug 2024 im Durchschnitt der Unternehmen 28,43 Euro/m². Der Median lag bei 27,75 Euro/m². Im Vergleich zum Vorjahr ergibt sich jeweils ein leichter Anstieg. </w:t>
      </w:r>
    </w:p>
    <w:p w14:paraId="2B713A8C" w14:textId="77777777" w:rsidR="00D06004" w:rsidRPr="00D06004" w:rsidRDefault="00D06004" w:rsidP="00D06004">
      <w:pPr>
        <w:rPr>
          <w:rFonts w:ascii="Arial" w:hAnsi="Arial" w:cs="Arial"/>
          <w:sz w:val="22"/>
        </w:rPr>
      </w:pPr>
    </w:p>
    <w:p w14:paraId="31DFE7AC" w14:textId="77777777" w:rsidR="00D06004" w:rsidRPr="00D06004" w:rsidRDefault="00D06004" w:rsidP="00D06004">
      <w:pPr>
        <w:rPr>
          <w:rFonts w:ascii="Arial" w:hAnsi="Arial" w:cs="Arial"/>
          <w:sz w:val="22"/>
        </w:rPr>
      </w:pPr>
      <w:r w:rsidRPr="00D06004">
        <w:rPr>
          <w:rFonts w:ascii="Arial" w:hAnsi="Arial" w:cs="Arial"/>
          <w:sz w:val="22"/>
        </w:rPr>
        <w:t>Der Anstieg des Zinsniveaus seit Sommer 2022 hat sich bisher noch nicht gravierend auf die entsprechenden Kennzahlen des Betriebsvergleichs niedergeschlagen. Auch im Jahr 2024 ist die Zinsquote, d. h. das Verhältnis der zu leistenden Zinsen zu den vereinnahmten Mieten (</w:t>
      </w:r>
      <w:proofErr w:type="spellStart"/>
      <w:r w:rsidRPr="00D06004">
        <w:rPr>
          <w:rFonts w:ascii="Arial" w:hAnsi="Arial" w:cs="Arial"/>
          <w:sz w:val="22"/>
        </w:rPr>
        <w:t>Istmiete</w:t>
      </w:r>
      <w:proofErr w:type="spellEnd"/>
      <w:r w:rsidRPr="00D06004">
        <w:rPr>
          <w:rFonts w:ascii="Arial" w:hAnsi="Arial" w:cs="Arial"/>
          <w:sz w:val="22"/>
        </w:rPr>
        <w:t>), weiter gesunken und liegt nun im Median aller Unternehmen bei 3,8%.</w:t>
      </w:r>
    </w:p>
    <w:p w14:paraId="75C79104" w14:textId="77777777" w:rsidR="00D06004" w:rsidRPr="00D06004" w:rsidRDefault="00D06004" w:rsidP="00D06004">
      <w:pPr>
        <w:rPr>
          <w:rFonts w:ascii="Arial" w:hAnsi="Arial" w:cs="Arial"/>
          <w:sz w:val="22"/>
        </w:rPr>
      </w:pPr>
    </w:p>
    <w:p w14:paraId="04133700" w14:textId="77777777" w:rsidR="00D06004" w:rsidRPr="00D06004" w:rsidRDefault="00D06004" w:rsidP="00D06004">
      <w:pPr>
        <w:rPr>
          <w:rFonts w:ascii="Arial" w:hAnsi="Arial" w:cs="Arial"/>
          <w:sz w:val="22"/>
        </w:rPr>
      </w:pPr>
      <w:r w:rsidRPr="00D06004">
        <w:rPr>
          <w:rFonts w:ascii="Arial" w:hAnsi="Arial" w:cs="Arial"/>
          <w:sz w:val="22"/>
        </w:rPr>
        <w:t xml:space="preserve">Die Eigenkapitalquoten sind im Jahr 2024 gestiegen. Der Mittelwert betrug in 2024 66,9 % (2023: 63,6%). </w:t>
      </w:r>
      <w:proofErr w:type="gramStart"/>
      <w:r w:rsidRPr="00D06004">
        <w:rPr>
          <w:rFonts w:ascii="Arial" w:hAnsi="Arial" w:cs="Arial"/>
          <w:sz w:val="22"/>
        </w:rPr>
        <w:t>In 2012</w:t>
      </w:r>
      <w:proofErr w:type="gramEnd"/>
      <w:r w:rsidRPr="00D06004">
        <w:rPr>
          <w:rFonts w:ascii="Arial" w:hAnsi="Arial" w:cs="Arial"/>
          <w:sz w:val="22"/>
        </w:rPr>
        <w:t xml:space="preserve"> betrug der Median der Eigenkapitalquoten 46,7 %. Die Genossen-</w:t>
      </w:r>
      <w:proofErr w:type="spellStart"/>
      <w:r w:rsidRPr="00D06004">
        <w:rPr>
          <w:rFonts w:ascii="Arial" w:hAnsi="Arial" w:cs="Arial"/>
          <w:sz w:val="22"/>
        </w:rPr>
        <w:t>schaften</w:t>
      </w:r>
      <w:proofErr w:type="spellEnd"/>
      <w:r w:rsidRPr="00D06004">
        <w:rPr>
          <w:rFonts w:ascii="Arial" w:hAnsi="Arial" w:cs="Arial"/>
          <w:sz w:val="22"/>
        </w:rPr>
        <w:t xml:space="preserve"> wiesen 48,3 %, die Kapitalgesellschaften 41,6 % aus.</w:t>
      </w:r>
    </w:p>
    <w:p w14:paraId="7031A7E1" w14:textId="77777777" w:rsidR="00D06004" w:rsidRPr="00D06004" w:rsidRDefault="00D06004" w:rsidP="00D06004">
      <w:pPr>
        <w:rPr>
          <w:rFonts w:ascii="Arial" w:hAnsi="Arial" w:cs="Arial"/>
          <w:sz w:val="22"/>
        </w:rPr>
      </w:pPr>
    </w:p>
    <w:p w14:paraId="3C025B60" w14:textId="77777777" w:rsidR="00D06004" w:rsidRPr="00D06004" w:rsidRDefault="00D06004" w:rsidP="00D06004">
      <w:pPr>
        <w:rPr>
          <w:rFonts w:ascii="Arial" w:hAnsi="Arial" w:cs="Arial"/>
          <w:sz w:val="22"/>
        </w:rPr>
      </w:pPr>
      <w:r w:rsidRPr="00D06004">
        <w:rPr>
          <w:rFonts w:ascii="Arial" w:hAnsi="Arial" w:cs="Arial"/>
          <w:sz w:val="22"/>
        </w:rPr>
        <w:t xml:space="preserve">Die wirtschaftliche Basis der Mehrzahl der Wohnungsunternehmen ist nach wie vor stabil. </w:t>
      </w:r>
    </w:p>
    <w:p w14:paraId="4178366F" w14:textId="77777777" w:rsidR="00D06004" w:rsidRPr="00D06004" w:rsidRDefault="00D06004" w:rsidP="00D06004">
      <w:pPr>
        <w:rPr>
          <w:rFonts w:ascii="Arial" w:hAnsi="Arial" w:cs="Arial"/>
          <w:sz w:val="22"/>
        </w:rPr>
      </w:pPr>
    </w:p>
    <w:p w14:paraId="3BCD21E2" w14:textId="77777777" w:rsidR="00D06004" w:rsidRPr="00D06004" w:rsidRDefault="00D06004" w:rsidP="00D06004">
      <w:pPr>
        <w:rPr>
          <w:rFonts w:ascii="Arial" w:hAnsi="Arial" w:cs="Arial"/>
          <w:sz w:val="22"/>
        </w:rPr>
      </w:pPr>
      <w:r w:rsidRPr="00D06004">
        <w:rPr>
          <w:rFonts w:ascii="Arial" w:hAnsi="Arial" w:cs="Arial"/>
          <w:sz w:val="22"/>
        </w:rPr>
        <w:t>Den Wohnungsunternehmen begegnen weiterhin schwierige Rahmenbedingungen: steigende Anforderungen und Kosten, anhaltender Handwerker- und Fachkräftemangel sowie in einigen Regionen erneut leicht steigender Leerstand. Die Miethöhen werden kontinuierlich überprüft. Wo länger keine Anpassungen erfolgt sind, und Spielräume bestehen, werden diese sozial-verträglich realisiert. Die Entwicklung der durchschnittlichen Sollmieten eigener Wohnungen bestätigt diesen Ansatz. Gleichzeitig stiegen die Betriebs- und Heizkosten anteilig stärker als die Nettokaltmieten, was die Mieterinnen und Mieter weiterhin erheblich belastet. Die erreich-</w:t>
      </w:r>
      <w:proofErr w:type="spellStart"/>
      <w:r w:rsidRPr="00D06004">
        <w:rPr>
          <w:rFonts w:ascii="Arial" w:hAnsi="Arial" w:cs="Arial"/>
          <w:sz w:val="22"/>
        </w:rPr>
        <w:t>ten</w:t>
      </w:r>
      <w:proofErr w:type="spellEnd"/>
      <w:r w:rsidRPr="00D06004">
        <w:rPr>
          <w:rFonts w:ascii="Arial" w:hAnsi="Arial" w:cs="Arial"/>
          <w:sz w:val="22"/>
        </w:rPr>
        <w:t xml:space="preserve"> Kaltmieten bleiben nach wie vor niedrig – zu niedrig, um auf dieser Basis die politischen Zielvorgaben zur Klimaneutralität des Gebäudebestands bis 2045 umzusetzen.</w:t>
      </w:r>
    </w:p>
    <w:p w14:paraId="4799A19C" w14:textId="77777777" w:rsidR="00D06004" w:rsidRPr="00D06004" w:rsidRDefault="00D06004" w:rsidP="00D06004">
      <w:pPr>
        <w:rPr>
          <w:rFonts w:ascii="Arial" w:hAnsi="Arial" w:cs="Arial"/>
          <w:sz w:val="22"/>
        </w:rPr>
      </w:pPr>
    </w:p>
    <w:p w14:paraId="0591F6BD" w14:textId="1C54DEE8" w:rsidR="00346686" w:rsidRDefault="00D06004" w:rsidP="00D02596">
      <w:pPr>
        <w:rPr>
          <w:rFonts w:ascii="Arial" w:hAnsi="Arial" w:cs="Arial"/>
          <w:sz w:val="22"/>
        </w:rPr>
      </w:pPr>
      <w:r w:rsidRPr="00D06004">
        <w:rPr>
          <w:rFonts w:ascii="Arial" w:hAnsi="Arial" w:cs="Arial"/>
          <w:sz w:val="22"/>
        </w:rPr>
        <w:t xml:space="preserve">In Teilbereichen hat sich die positive wirtschaftliche Entwicklung abgeschwächt, </w:t>
      </w:r>
      <w:proofErr w:type="spellStart"/>
      <w:r w:rsidRPr="00D06004">
        <w:rPr>
          <w:rFonts w:ascii="Arial" w:hAnsi="Arial" w:cs="Arial"/>
          <w:sz w:val="22"/>
        </w:rPr>
        <w:t>insbesonde-re</w:t>
      </w:r>
      <w:proofErr w:type="spellEnd"/>
      <w:r w:rsidRPr="00D06004">
        <w:rPr>
          <w:rFonts w:ascii="Arial" w:hAnsi="Arial" w:cs="Arial"/>
          <w:sz w:val="22"/>
        </w:rPr>
        <w:t xml:space="preserve"> bei Zins- und Kapitaldienstquoten. Die zuvor genutzte Niedrigzinsphase ermöglichte es, Verschuldung abzubauen und neue Spielräume für Investitionen zu schaffen. Trotz eines grundsätzlich soliden Niveaus stehen den Unternehmen nun stark gestiegene Kosten und größere Unsicherheiten bei der künftigen Entwicklung gegenüber. Entscheidend bleibt, die wirtschaftliche Stabilität zu sichern. Dazu sind verlässliche Rahmenbedingungen erforderlich, insbesondere gezielte Fördermaßnahmen für Klimaschutz und Anpassungen in Bezug auf Barrierefreiheit. Ohne Unterstützung von außen können die Klimaschutzziele weder in </w:t>
      </w:r>
      <w:proofErr w:type="spellStart"/>
      <w:r w:rsidRPr="00D06004">
        <w:rPr>
          <w:rFonts w:ascii="Arial" w:hAnsi="Arial" w:cs="Arial"/>
          <w:sz w:val="22"/>
        </w:rPr>
        <w:t>städti-schen</w:t>
      </w:r>
      <w:proofErr w:type="spellEnd"/>
      <w:r w:rsidRPr="00D06004">
        <w:rPr>
          <w:rFonts w:ascii="Arial" w:hAnsi="Arial" w:cs="Arial"/>
          <w:sz w:val="22"/>
        </w:rPr>
        <w:t xml:space="preserve"> noch in ländlichen Regionen allein durch die Unternehmen erreicht werden.</w:t>
      </w:r>
    </w:p>
    <w:p w14:paraId="4D3A35C0" w14:textId="77777777" w:rsidR="00DE56A3" w:rsidRPr="00D02596" w:rsidRDefault="00DE56A3" w:rsidP="00D02596">
      <w:pPr>
        <w:rPr>
          <w:rFonts w:ascii="Arial" w:hAnsi="Arial" w:cs="Arial"/>
          <w:sz w:val="22"/>
        </w:rPr>
      </w:pPr>
    </w:p>
    <w:sectPr w:rsidR="00DE56A3" w:rsidRPr="00D02596">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D134" w14:textId="77777777" w:rsidR="007B1ABB" w:rsidRDefault="007B1ABB" w:rsidP="008B4373">
      <w:r>
        <w:separator/>
      </w:r>
    </w:p>
  </w:endnote>
  <w:endnote w:type="continuationSeparator" w:id="0">
    <w:p w14:paraId="0C5D4248" w14:textId="77777777" w:rsidR="007B1ABB" w:rsidRDefault="007B1ABB" w:rsidP="008B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CDE E+ Meta Normal L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343847"/>
      <w:docPartObj>
        <w:docPartGallery w:val="Page Numbers (Bottom of Page)"/>
        <w:docPartUnique/>
      </w:docPartObj>
    </w:sdtPr>
    <w:sdtEndPr/>
    <w:sdtContent>
      <w:p w14:paraId="42C5DBD9" w14:textId="26BEC4F4" w:rsidR="008B4373" w:rsidRDefault="00BC3FC6" w:rsidP="00BC3FC6">
        <w:pPr>
          <w:pStyle w:val="Fuzeile"/>
          <w:tabs>
            <w:tab w:val="left" w:pos="1664"/>
          </w:tabs>
        </w:pPr>
        <w:r>
          <w:tab/>
        </w:r>
        <w:r>
          <w:tab/>
        </w:r>
        <w:r>
          <w:tab/>
        </w:r>
        <w:r w:rsidR="008B4373">
          <w:fldChar w:fldCharType="begin"/>
        </w:r>
        <w:r w:rsidR="008B4373">
          <w:instrText>PAGE   \* MERGEFORMAT</w:instrText>
        </w:r>
        <w:r w:rsidR="008B4373">
          <w:fldChar w:fldCharType="separate"/>
        </w:r>
        <w:r w:rsidR="008B4373">
          <w:t>2</w:t>
        </w:r>
        <w:r w:rsidR="008B4373">
          <w:fldChar w:fldCharType="end"/>
        </w:r>
      </w:p>
    </w:sdtContent>
  </w:sdt>
  <w:p w14:paraId="086D8A6C" w14:textId="77777777" w:rsidR="008B4373" w:rsidRDefault="008B43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9C62" w14:textId="77777777" w:rsidR="007B1ABB" w:rsidRDefault="007B1ABB" w:rsidP="008B4373">
      <w:r>
        <w:separator/>
      </w:r>
    </w:p>
  </w:footnote>
  <w:footnote w:type="continuationSeparator" w:id="0">
    <w:p w14:paraId="3870549B" w14:textId="77777777" w:rsidR="007B1ABB" w:rsidRDefault="007B1ABB" w:rsidP="008B4373">
      <w:r>
        <w:continuationSeparator/>
      </w:r>
    </w:p>
  </w:footnote>
  <w:footnote w:id="1">
    <w:p w14:paraId="41A22E84" w14:textId="77777777" w:rsidR="00C35FB4" w:rsidRPr="005817AE" w:rsidRDefault="00C35FB4" w:rsidP="00C35FB4">
      <w:pPr>
        <w:pStyle w:val="Funotentext"/>
        <w:rPr>
          <w:rFonts w:ascii="Arial" w:hAnsi="Arial" w:cs="Arial"/>
        </w:rPr>
      </w:pPr>
      <w:r w:rsidRPr="005817AE">
        <w:rPr>
          <w:rStyle w:val="Funotenzeichen"/>
          <w:rFonts w:ascii="Arial" w:hAnsi="Arial" w:cs="Arial"/>
        </w:rPr>
        <w:footnoteRef/>
      </w:r>
      <w:r w:rsidRPr="005817AE">
        <w:rPr>
          <w:rFonts w:ascii="Arial" w:hAnsi="Arial" w:cs="Arial"/>
        </w:rPr>
        <w:t xml:space="preserve"> </w:t>
      </w:r>
      <w:hyperlink r:id="rId1" w:history="1">
        <w:r w:rsidRPr="005817AE">
          <w:rPr>
            <w:rStyle w:val="Hyperlink"/>
            <w:rFonts w:ascii="Arial" w:hAnsi="Arial" w:cs="Arial"/>
          </w:rPr>
          <w:t xml:space="preserve">Bevölkerung Deutschlands nimmt im Jahr 2025 um rund 100 000 Personen ab - </w:t>
        </w:r>
        <w:r>
          <w:rPr>
            <w:rStyle w:val="Hyperlink"/>
            <w:rFonts w:ascii="Arial" w:hAnsi="Arial" w:cs="Arial"/>
          </w:rPr>
          <w:br/>
          <w:t xml:space="preserve">   </w:t>
        </w:r>
        <w:r w:rsidRPr="005817AE">
          <w:rPr>
            <w:rStyle w:val="Hyperlink"/>
            <w:rFonts w:ascii="Arial" w:hAnsi="Arial" w:cs="Arial"/>
          </w:rPr>
          <w:t>Statistisches Bundesamt</w:t>
        </w:r>
      </w:hyperlink>
    </w:p>
  </w:footnote>
  <w:footnote w:id="2">
    <w:p w14:paraId="05DF6642" w14:textId="77777777" w:rsidR="00C35FB4" w:rsidRPr="005817AE" w:rsidRDefault="00C35FB4" w:rsidP="00C35FB4">
      <w:pPr>
        <w:pStyle w:val="Funotentext"/>
        <w:rPr>
          <w:rFonts w:ascii="Arial" w:hAnsi="Arial" w:cs="Arial"/>
        </w:rPr>
      </w:pPr>
      <w:r w:rsidRPr="005817AE">
        <w:rPr>
          <w:rStyle w:val="Funotenzeichen"/>
          <w:rFonts w:ascii="Arial" w:hAnsi="Arial" w:cs="Arial"/>
        </w:rPr>
        <w:footnoteRef/>
      </w:r>
      <w:r w:rsidRPr="005817AE">
        <w:rPr>
          <w:rFonts w:ascii="Arial" w:hAnsi="Arial" w:cs="Arial"/>
        </w:rPr>
        <w:t xml:space="preserve"> </w:t>
      </w:r>
      <w:hyperlink r:id="rId2" w:history="1">
        <w:r w:rsidRPr="005817AE">
          <w:rPr>
            <w:rStyle w:val="Hyperlink"/>
            <w:rFonts w:ascii="Arial" w:hAnsi="Arial" w:cs="Arial"/>
          </w:rPr>
          <w:t>Thüringer La</w:t>
        </w:r>
        <w:r w:rsidRPr="005817AE">
          <w:rPr>
            <w:rStyle w:val="Hyperlink"/>
            <w:rFonts w:ascii="Arial" w:hAnsi="Arial" w:cs="Arial"/>
          </w:rPr>
          <w:t>n</w:t>
        </w:r>
        <w:r w:rsidRPr="005817AE">
          <w:rPr>
            <w:rStyle w:val="Hyperlink"/>
            <w:rFonts w:ascii="Arial" w:hAnsi="Arial" w:cs="Arial"/>
          </w:rPr>
          <w:t>desamt für Statistik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650"/>
    <w:multiLevelType w:val="hybridMultilevel"/>
    <w:tmpl w:val="9358287C"/>
    <w:lvl w:ilvl="0" w:tplc="BA5A86B4">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3A2A8B"/>
    <w:multiLevelType w:val="hybridMultilevel"/>
    <w:tmpl w:val="9A948476"/>
    <w:lvl w:ilvl="0" w:tplc="BA5A86B4">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DF275AD"/>
    <w:multiLevelType w:val="hybridMultilevel"/>
    <w:tmpl w:val="EC5E92D6"/>
    <w:lvl w:ilvl="0" w:tplc="457ADF1C">
      <w:start w:val="1"/>
      <w:numFmt w:val="upperRoman"/>
      <w:lvlText w:val="%1."/>
      <w:lvlJc w:val="left"/>
      <w:pPr>
        <w:tabs>
          <w:tab w:val="num" w:pos="720"/>
        </w:tabs>
        <w:ind w:left="720" w:hanging="7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21806557"/>
    <w:multiLevelType w:val="hybridMultilevel"/>
    <w:tmpl w:val="3A7E4BBA"/>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6556929"/>
    <w:multiLevelType w:val="hybridMultilevel"/>
    <w:tmpl w:val="49B29CD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rPr>
        <w:rFonts w:ascii="Wingdings" w:hAnsi="Wingdings" w:hint="default"/>
      </w:rPr>
    </w:lvl>
    <w:lvl w:ilvl="3" w:tplc="04070001">
      <w:start w:val="1"/>
      <w:numFmt w:val="bullet"/>
      <w:lvlText w:val=""/>
      <w:lvlJc w:val="left"/>
      <w:pPr>
        <w:ind w:left="0" w:hanging="360"/>
      </w:pPr>
      <w:rPr>
        <w:rFonts w:ascii="Symbol" w:hAnsi="Symbol" w:hint="default"/>
      </w:rPr>
    </w:lvl>
    <w:lvl w:ilvl="4" w:tplc="FFFFFFFF" w:tentative="1">
      <w:start w:val="1"/>
      <w:numFmt w:val="bullet"/>
      <w:lvlText w:val="o"/>
      <w:lvlJc w:val="left"/>
      <w:pPr>
        <w:ind w:left="720" w:hanging="360"/>
      </w:pPr>
      <w:rPr>
        <w:rFonts w:ascii="Courier New" w:hAnsi="Courier New" w:cs="Courier New" w:hint="default"/>
      </w:rPr>
    </w:lvl>
    <w:lvl w:ilvl="5" w:tplc="FFFFFFFF" w:tentative="1">
      <w:start w:val="1"/>
      <w:numFmt w:val="bullet"/>
      <w:lvlText w:val=""/>
      <w:lvlJc w:val="left"/>
      <w:pPr>
        <w:ind w:left="1440" w:hanging="360"/>
      </w:pPr>
      <w:rPr>
        <w:rFonts w:ascii="Wingdings" w:hAnsi="Wingdings" w:hint="default"/>
      </w:rPr>
    </w:lvl>
    <w:lvl w:ilvl="6" w:tplc="FFFFFFFF" w:tentative="1">
      <w:start w:val="1"/>
      <w:numFmt w:val="bullet"/>
      <w:lvlText w:val=""/>
      <w:lvlJc w:val="left"/>
      <w:pPr>
        <w:ind w:left="2160" w:hanging="360"/>
      </w:pPr>
      <w:rPr>
        <w:rFonts w:ascii="Symbol" w:hAnsi="Symbol" w:hint="default"/>
      </w:rPr>
    </w:lvl>
    <w:lvl w:ilvl="7" w:tplc="FFFFFFFF" w:tentative="1">
      <w:start w:val="1"/>
      <w:numFmt w:val="bullet"/>
      <w:lvlText w:val="o"/>
      <w:lvlJc w:val="left"/>
      <w:pPr>
        <w:ind w:left="2880" w:hanging="360"/>
      </w:pPr>
      <w:rPr>
        <w:rFonts w:ascii="Courier New" w:hAnsi="Courier New" w:cs="Courier New" w:hint="default"/>
      </w:rPr>
    </w:lvl>
    <w:lvl w:ilvl="8" w:tplc="FFFFFFFF" w:tentative="1">
      <w:start w:val="1"/>
      <w:numFmt w:val="bullet"/>
      <w:lvlText w:val=""/>
      <w:lvlJc w:val="left"/>
      <w:pPr>
        <w:ind w:left="3600" w:hanging="360"/>
      </w:pPr>
      <w:rPr>
        <w:rFonts w:ascii="Wingdings" w:hAnsi="Wingdings" w:hint="default"/>
      </w:rPr>
    </w:lvl>
  </w:abstractNum>
  <w:abstractNum w:abstractNumId="5" w15:restartNumberingAfterBreak="0">
    <w:nsid w:val="483739CB"/>
    <w:multiLevelType w:val="hybridMultilevel"/>
    <w:tmpl w:val="CEA65CE8"/>
    <w:lvl w:ilvl="0" w:tplc="FFFFFFFF">
      <w:start w:val="1"/>
      <w:numFmt w:val="bullet"/>
      <w:lvlText w:val=""/>
      <w:lvlJc w:val="left"/>
      <w:pPr>
        <w:ind w:left="32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497B3A"/>
    <w:multiLevelType w:val="hybridMultilevel"/>
    <w:tmpl w:val="58565B1A"/>
    <w:lvl w:ilvl="0" w:tplc="FFFFFFFF" w:tentative="1">
      <w:start w:val="1"/>
      <w:numFmt w:val="bullet"/>
      <w:lvlText w:val=""/>
      <w:lvlJc w:val="left"/>
      <w:pPr>
        <w:ind w:left="5760" w:hanging="360"/>
      </w:pPr>
      <w:rPr>
        <w:rFonts w:ascii="Symbol" w:hAnsi="Symbol" w:hint="default"/>
      </w:rPr>
    </w:lvl>
    <w:lvl w:ilvl="1" w:tplc="04070003" w:tentative="1">
      <w:start w:val="1"/>
      <w:numFmt w:val="bullet"/>
      <w:lvlText w:val="o"/>
      <w:lvlJc w:val="left"/>
      <w:pPr>
        <w:ind w:left="3960" w:hanging="360"/>
      </w:pPr>
      <w:rPr>
        <w:rFonts w:ascii="Courier New" w:hAnsi="Courier New" w:cs="Courier New" w:hint="default"/>
      </w:rPr>
    </w:lvl>
    <w:lvl w:ilvl="2" w:tplc="04070005" w:tentative="1">
      <w:start w:val="1"/>
      <w:numFmt w:val="bullet"/>
      <w:lvlText w:val=""/>
      <w:lvlJc w:val="left"/>
      <w:pPr>
        <w:ind w:left="4680" w:hanging="360"/>
      </w:pPr>
      <w:rPr>
        <w:rFonts w:ascii="Wingdings" w:hAnsi="Wingdings" w:hint="default"/>
      </w:rPr>
    </w:lvl>
    <w:lvl w:ilvl="3" w:tplc="04070001">
      <w:start w:val="1"/>
      <w:numFmt w:val="bullet"/>
      <w:lvlText w:val=""/>
      <w:lvlJc w:val="left"/>
      <w:pPr>
        <w:ind w:left="5400" w:hanging="360"/>
      </w:pPr>
      <w:rPr>
        <w:rFonts w:ascii="Symbol" w:hAnsi="Symbol" w:hint="default"/>
      </w:rPr>
    </w:lvl>
    <w:lvl w:ilvl="4" w:tplc="04070003" w:tentative="1">
      <w:start w:val="1"/>
      <w:numFmt w:val="bullet"/>
      <w:lvlText w:val="o"/>
      <w:lvlJc w:val="left"/>
      <w:pPr>
        <w:ind w:left="6120" w:hanging="360"/>
      </w:pPr>
      <w:rPr>
        <w:rFonts w:ascii="Courier New" w:hAnsi="Courier New" w:cs="Courier New" w:hint="default"/>
      </w:rPr>
    </w:lvl>
    <w:lvl w:ilvl="5" w:tplc="04070005" w:tentative="1">
      <w:start w:val="1"/>
      <w:numFmt w:val="bullet"/>
      <w:lvlText w:val=""/>
      <w:lvlJc w:val="left"/>
      <w:pPr>
        <w:ind w:left="6840" w:hanging="360"/>
      </w:pPr>
      <w:rPr>
        <w:rFonts w:ascii="Wingdings" w:hAnsi="Wingdings" w:hint="default"/>
      </w:rPr>
    </w:lvl>
    <w:lvl w:ilvl="6" w:tplc="04070001" w:tentative="1">
      <w:start w:val="1"/>
      <w:numFmt w:val="bullet"/>
      <w:lvlText w:val=""/>
      <w:lvlJc w:val="left"/>
      <w:pPr>
        <w:ind w:left="7560" w:hanging="360"/>
      </w:pPr>
      <w:rPr>
        <w:rFonts w:ascii="Symbol" w:hAnsi="Symbol" w:hint="default"/>
      </w:rPr>
    </w:lvl>
    <w:lvl w:ilvl="7" w:tplc="04070003" w:tentative="1">
      <w:start w:val="1"/>
      <w:numFmt w:val="bullet"/>
      <w:lvlText w:val="o"/>
      <w:lvlJc w:val="left"/>
      <w:pPr>
        <w:ind w:left="8280" w:hanging="360"/>
      </w:pPr>
      <w:rPr>
        <w:rFonts w:ascii="Courier New" w:hAnsi="Courier New" w:cs="Courier New" w:hint="default"/>
      </w:rPr>
    </w:lvl>
    <w:lvl w:ilvl="8" w:tplc="04070005" w:tentative="1">
      <w:start w:val="1"/>
      <w:numFmt w:val="bullet"/>
      <w:lvlText w:val=""/>
      <w:lvlJc w:val="left"/>
      <w:pPr>
        <w:ind w:left="9000" w:hanging="360"/>
      </w:pPr>
      <w:rPr>
        <w:rFonts w:ascii="Wingdings" w:hAnsi="Wingdings" w:hint="default"/>
      </w:rPr>
    </w:lvl>
  </w:abstractNum>
  <w:num w:numId="1" w16cid:durableId="113134297">
    <w:abstractNumId w:val="2"/>
  </w:num>
  <w:num w:numId="2" w16cid:durableId="1711151110">
    <w:abstractNumId w:val="0"/>
  </w:num>
  <w:num w:numId="3" w16cid:durableId="1923830756">
    <w:abstractNumId w:val="1"/>
  </w:num>
  <w:num w:numId="4" w16cid:durableId="2010592680">
    <w:abstractNumId w:val="3"/>
  </w:num>
  <w:num w:numId="5" w16cid:durableId="1414231703">
    <w:abstractNumId w:val="5"/>
  </w:num>
  <w:num w:numId="6" w16cid:durableId="852769324">
    <w:abstractNumId w:val="6"/>
  </w:num>
  <w:num w:numId="7" w16cid:durableId="400760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86"/>
    <w:rsid w:val="000617F0"/>
    <w:rsid w:val="00062438"/>
    <w:rsid w:val="000749A8"/>
    <w:rsid w:val="000A3412"/>
    <w:rsid w:val="000E43D5"/>
    <w:rsid w:val="000F3372"/>
    <w:rsid w:val="0012127E"/>
    <w:rsid w:val="00123A23"/>
    <w:rsid w:val="00125A4F"/>
    <w:rsid w:val="001324F1"/>
    <w:rsid w:val="0018703D"/>
    <w:rsid w:val="0019420D"/>
    <w:rsid w:val="001C300F"/>
    <w:rsid w:val="001C5310"/>
    <w:rsid w:val="001E4561"/>
    <w:rsid w:val="001F20CB"/>
    <w:rsid w:val="00220C0B"/>
    <w:rsid w:val="00245DD0"/>
    <w:rsid w:val="002630BF"/>
    <w:rsid w:val="0027033E"/>
    <w:rsid w:val="00282BC4"/>
    <w:rsid w:val="002B18AC"/>
    <w:rsid w:val="002B276D"/>
    <w:rsid w:val="002B5E78"/>
    <w:rsid w:val="002C077A"/>
    <w:rsid w:val="002D58D5"/>
    <w:rsid w:val="002D79D9"/>
    <w:rsid w:val="002E31E1"/>
    <w:rsid w:val="002E64E2"/>
    <w:rsid w:val="00327C06"/>
    <w:rsid w:val="00336C21"/>
    <w:rsid w:val="00346686"/>
    <w:rsid w:val="00395FA9"/>
    <w:rsid w:val="003A55EF"/>
    <w:rsid w:val="003C3088"/>
    <w:rsid w:val="003C41A9"/>
    <w:rsid w:val="00440723"/>
    <w:rsid w:val="00453889"/>
    <w:rsid w:val="004A0118"/>
    <w:rsid w:val="004A068B"/>
    <w:rsid w:val="004D6B1D"/>
    <w:rsid w:val="004F4E8D"/>
    <w:rsid w:val="00540412"/>
    <w:rsid w:val="005424F1"/>
    <w:rsid w:val="00563511"/>
    <w:rsid w:val="0059427E"/>
    <w:rsid w:val="005A66A4"/>
    <w:rsid w:val="00604C3C"/>
    <w:rsid w:val="00635007"/>
    <w:rsid w:val="00661061"/>
    <w:rsid w:val="0067028C"/>
    <w:rsid w:val="00673112"/>
    <w:rsid w:val="0068621D"/>
    <w:rsid w:val="00692FA7"/>
    <w:rsid w:val="006A0DCF"/>
    <w:rsid w:val="006A2297"/>
    <w:rsid w:val="006C4ED2"/>
    <w:rsid w:val="006D032B"/>
    <w:rsid w:val="006D79EF"/>
    <w:rsid w:val="006E1996"/>
    <w:rsid w:val="006E5E6C"/>
    <w:rsid w:val="006F538C"/>
    <w:rsid w:val="0070310B"/>
    <w:rsid w:val="007041EF"/>
    <w:rsid w:val="00730F45"/>
    <w:rsid w:val="00743628"/>
    <w:rsid w:val="007479A4"/>
    <w:rsid w:val="007A1E24"/>
    <w:rsid w:val="007A7118"/>
    <w:rsid w:val="007B1ABB"/>
    <w:rsid w:val="007D2C1E"/>
    <w:rsid w:val="007E01D4"/>
    <w:rsid w:val="00810671"/>
    <w:rsid w:val="00867C17"/>
    <w:rsid w:val="00896501"/>
    <w:rsid w:val="008976C2"/>
    <w:rsid w:val="008A74B6"/>
    <w:rsid w:val="008B4373"/>
    <w:rsid w:val="008C2F56"/>
    <w:rsid w:val="008F19CF"/>
    <w:rsid w:val="0093356A"/>
    <w:rsid w:val="00965E0A"/>
    <w:rsid w:val="009663D5"/>
    <w:rsid w:val="00970696"/>
    <w:rsid w:val="00980C42"/>
    <w:rsid w:val="0098242B"/>
    <w:rsid w:val="009A5441"/>
    <w:rsid w:val="009C4381"/>
    <w:rsid w:val="009F3E89"/>
    <w:rsid w:val="00A77386"/>
    <w:rsid w:val="00A82457"/>
    <w:rsid w:val="00AB4AE7"/>
    <w:rsid w:val="00AD553A"/>
    <w:rsid w:val="00B36A9D"/>
    <w:rsid w:val="00B475F4"/>
    <w:rsid w:val="00B5346F"/>
    <w:rsid w:val="00B63F4C"/>
    <w:rsid w:val="00BB6007"/>
    <w:rsid w:val="00BC3FC6"/>
    <w:rsid w:val="00BD75F4"/>
    <w:rsid w:val="00C35FB4"/>
    <w:rsid w:val="00C5596F"/>
    <w:rsid w:val="00C825C9"/>
    <w:rsid w:val="00CA5867"/>
    <w:rsid w:val="00CB6AC1"/>
    <w:rsid w:val="00CB7EC9"/>
    <w:rsid w:val="00CC4381"/>
    <w:rsid w:val="00CE18F9"/>
    <w:rsid w:val="00CF26C4"/>
    <w:rsid w:val="00CF4E1F"/>
    <w:rsid w:val="00D02596"/>
    <w:rsid w:val="00D06004"/>
    <w:rsid w:val="00D43118"/>
    <w:rsid w:val="00D86A7A"/>
    <w:rsid w:val="00D92E94"/>
    <w:rsid w:val="00DC45CA"/>
    <w:rsid w:val="00DE56A3"/>
    <w:rsid w:val="00E13A0A"/>
    <w:rsid w:val="00E31491"/>
    <w:rsid w:val="00E60FD2"/>
    <w:rsid w:val="00E64F51"/>
    <w:rsid w:val="00E73FBD"/>
    <w:rsid w:val="00E76D45"/>
    <w:rsid w:val="00E92E49"/>
    <w:rsid w:val="00EC56DC"/>
    <w:rsid w:val="00F0323A"/>
    <w:rsid w:val="00F05D5F"/>
    <w:rsid w:val="00F15546"/>
    <w:rsid w:val="00F5518C"/>
    <w:rsid w:val="00F57152"/>
    <w:rsid w:val="00F61F2D"/>
    <w:rsid w:val="00F7055E"/>
    <w:rsid w:val="00F75AB5"/>
    <w:rsid w:val="00F9077F"/>
    <w:rsid w:val="00FB3A63"/>
    <w:rsid w:val="00FF014E"/>
    <w:rsid w:val="00FF2718"/>
    <w:rsid w:val="026D133E"/>
    <w:rsid w:val="02D3EA29"/>
    <w:rsid w:val="069391AC"/>
    <w:rsid w:val="06DA6D76"/>
    <w:rsid w:val="09A901CF"/>
    <w:rsid w:val="0EC95A82"/>
    <w:rsid w:val="164E71A2"/>
    <w:rsid w:val="1A077852"/>
    <w:rsid w:val="1B72D2F4"/>
    <w:rsid w:val="1EC26BF5"/>
    <w:rsid w:val="22D938F4"/>
    <w:rsid w:val="22DC877C"/>
    <w:rsid w:val="235D148F"/>
    <w:rsid w:val="23AE25B3"/>
    <w:rsid w:val="2542A558"/>
    <w:rsid w:val="26C952E0"/>
    <w:rsid w:val="2BC37FC6"/>
    <w:rsid w:val="2C14A910"/>
    <w:rsid w:val="2C2C1E70"/>
    <w:rsid w:val="2D507876"/>
    <w:rsid w:val="2D8650B1"/>
    <w:rsid w:val="3309C1EF"/>
    <w:rsid w:val="34D0A131"/>
    <w:rsid w:val="3564909B"/>
    <w:rsid w:val="36477518"/>
    <w:rsid w:val="377D033F"/>
    <w:rsid w:val="3A0BE14D"/>
    <w:rsid w:val="3B1EA8A9"/>
    <w:rsid w:val="3B3A41A7"/>
    <w:rsid w:val="3BB474B8"/>
    <w:rsid w:val="3C4D7530"/>
    <w:rsid w:val="401D88FD"/>
    <w:rsid w:val="40564C43"/>
    <w:rsid w:val="40C31718"/>
    <w:rsid w:val="44BA8399"/>
    <w:rsid w:val="45058C79"/>
    <w:rsid w:val="49049F50"/>
    <w:rsid w:val="492A02BC"/>
    <w:rsid w:val="4B5793D6"/>
    <w:rsid w:val="4C15E12A"/>
    <w:rsid w:val="4CF3A5FC"/>
    <w:rsid w:val="4F4778DD"/>
    <w:rsid w:val="51E70EA7"/>
    <w:rsid w:val="58577B34"/>
    <w:rsid w:val="5EA52E95"/>
    <w:rsid w:val="6074E650"/>
    <w:rsid w:val="60C0DDED"/>
    <w:rsid w:val="6265B32D"/>
    <w:rsid w:val="64714A39"/>
    <w:rsid w:val="68D2F36C"/>
    <w:rsid w:val="6AECDF04"/>
    <w:rsid w:val="6BF1478F"/>
    <w:rsid w:val="6BF8B269"/>
    <w:rsid w:val="6C2F8045"/>
    <w:rsid w:val="6C69B0C3"/>
    <w:rsid w:val="6DF44322"/>
    <w:rsid w:val="6FE786A3"/>
    <w:rsid w:val="7058084B"/>
    <w:rsid w:val="70B10CFA"/>
    <w:rsid w:val="71E7CE65"/>
    <w:rsid w:val="72E0CD23"/>
    <w:rsid w:val="760BD1AC"/>
    <w:rsid w:val="7833B657"/>
    <w:rsid w:val="79E0A7D9"/>
    <w:rsid w:val="7A736F20"/>
    <w:rsid w:val="7AFA11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39DD"/>
  <w15:chartTrackingRefBased/>
  <w15:docId w15:val="{B9AA2DF4-ABD9-49C7-B28D-AC6B853B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7F0"/>
    <w:pPr>
      <w:spacing w:after="0" w:line="240" w:lineRule="auto"/>
    </w:pPr>
    <w:rPr>
      <w:rFonts w:ascii="Times New Roman" w:hAnsi="Times New Roman"/>
      <w:kern w:val="0"/>
      <w:szCs w:val="22"/>
      <w14:ligatures w14:val="none"/>
    </w:rPr>
  </w:style>
  <w:style w:type="paragraph" w:styleId="berschrift1">
    <w:name w:val="heading 1"/>
    <w:basedOn w:val="Standard"/>
    <w:next w:val="Standard"/>
    <w:link w:val="berschrift1Zchn"/>
    <w:uiPriority w:val="9"/>
    <w:qFormat/>
    <w:rsid w:val="00346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6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66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66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66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66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66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66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66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66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66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66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66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66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66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66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66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6686"/>
    <w:rPr>
      <w:rFonts w:eastAsiaTheme="majorEastAsia" w:cstheme="majorBidi"/>
      <w:color w:val="272727" w:themeColor="text1" w:themeTint="D8"/>
    </w:rPr>
  </w:style>
  <w:style w:type="paragraph" w:styleId="Titel">
    <w:name w:val="Title"/>
    <w:basedOn w:val="Standard"/>
    <w:next w:val="Standard"/>
    <w:link w:val="TitelZchn"/>
    <w:uiPriority w:val="10"/>
    <w:qFormat/>
    <w:rsid w:val="003466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66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66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66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66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6686"/>
    <w:rPr>
      <w:i/>
      <w:iCs/>
      <w:color w:val="404040" w:themeColor="text1" w:themeTint="BF"/>
    </w:rPr>
  </w:style>
  <w:style w:type="paragraph" w:styleId="Listenabsatz">
    <w:name w:val="List Paragraph"/>
    <w:basedOn w:val="Standard"/>
    <w:uiPriority w:val="34"/>
    <w:qFormat/>
    <w:rsid w:val="00346686"/>
    <w:pPr>
      <w:ind w:left="720"/>
      <w:contextualSpacing/>
    </w:pPr>
  </w:style>
  <w:style w:type="character" w:styleId="IntensiveHervorhebung">
    <w:name w:val="Intense Emphasis"/>
    <w:basedOn w:val="Absatz-Standardschriftart"/>
    <w:uiPriority w:val="21"/>
    <w:qFormat/>
    <w:rsid w:val="00346686"/>
    <w:rPr>
      <w:i/>
      <w:iCs/>
      <w:color w:val="0F4761" w:themeColor="accent1" w:themeShade="BF"/>
    </w:rPr>
  </w:style>
  <w:style w:type="paragraph" w:styleId="IntensivesZitat">
    <w:name w:val="Intense Quote"/>
    <w:basedOn w:val="Standard"/>
    <w:next w:val="Standard"/>
    <w:link w:val="IntensivesZitatZchn"/>
    <w:uiPriority w:val="30"/>
    <w:qFormat/>
    <w:rsid w:val="00346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6686"/>
    <w:rPr>
      <w:i/>
      <w:iCs/>
      <w:color w:val="0F4761" w:themeColor="accent1" w:themeShade="BF"/>
    </w:rPr>
  </w:style>
  <w:style w:type="character" w:styleId="IntensiverVerweis">
    <w:name w:val="Intense Reference"/>
    <w:basedOn w:val="Absatz-Standardschriftart"/>
    <w:uiPriority w:val="32"/>
    <w:qFormat/>
    <w:rsid w:val="00346686"/>
    <w:rPr>
      <w:b/>
      <w:bCs/>
      <w:smallCaps/>
      <w:color w:val="0F4761" w:themeColor="accent1" w:themeShade="BF"/>
      <w:spacing w:val="5"/>
    </w:rPr>
  </w:style>
  <w:style w:type="paragraph" w:customStyle="1" w:styleId="Default">
    <w:name w:val="Default"/>
    <w:rsid w:val="000617F0"/>
    <w:pPr>
      <w:autoSpaceDE w:val="0"/>
      <w:autoSpaceDN w:val="0"/>
      <w:adjustRightInd w:val="0"/>
      <w:spacing w:after="0" w:line="240" w:lineRule="auto"/>
    </w:pPr>
    <w:rPr>
      <w:rFonts w:ascii="ABCDE E+ Meta Normal LF" w:hAnsi="ABCDE E+ Meta Normal LF" w:cs="ABCDE E+ Meta Normal LF"/>
      <w:color w:val="000000"/>
      <w:kern w:val="0"/>
      <w14:ligatures w14:val="none"/>
    </w:rPr>
  </w:style>
  <w:style w:type="character" w:customStyle="1" w:styleId="markedcontent">
    <w:name w:val="markedcontent"/>
    <w:basedOn w:val="Absatz-Standardschriftart"/>
    <w:rsid w:val="000617F0"/>
  </w:style>
  <w:style w:type="paragraph" w:customStyle="1" w:styleId="m-ten">
    <w:name w:val="m-ten"/>
    <w:basedOn w:val="Standard"/>
    <w:rsid w:val="000617F0"/>
    <w:pPr>
      <w:spacing w:before="100" w:beforeAutospacing="1" w:after="100" w:afterAutospacing="1"/>
    </w:pPr>
    <w:rPr>
      <w:rFonts w:eastAsia="Times New Roman" w:cs="Times New Roman"/>
      <w:szCs w:val="24"/>
      <w:lang w:eastAsia="de-DE"/>
    </w:rPr>
  </w:style>
  <w:style w:type="character" w:styleId="HTMLDefinition">
    <w:name w:val="HTML Definition"/>
    <w:basedOn w:val="Absatz-Standardschriftart"/>
    <w:uiPriority w:val="99"/>
    <w:semiHidden/>
    <w:unhideWhenUsed/>
    <w:rsid w:val="000617F0"/>
    <w:rPr>
      <w:i/>
      <w:iCs/>
    </w:rPr>
  </w:style>
  <w:style w:type="paragraph" w:customStyle="1" w:styleId="textabsatz">
    <w:name w:val="textabsatz"/>
    <w:basedOn w:val="Standard"/>
    <w:rsid w:val="00F7055E"/>
    <w:pPr>
      <w:spacing w:before="100" w:beforeAutospacing="1" w:after="100" w:afterAutospacing="1"/>
    </w:pPr>
    <w:rPr>
      <w:rFonts w:eastAsia="Times New Roman" w:cs="Times New Roman"/>
      <w:szCs w:val="24"/>
      <w:lang w:eastAsia="de-DE"/>
    </w:rPr>
  </w:style>
  <w:style w:type="character" w:styleId="Fett">
    <w:name w:val="Strong"/>
    <w:basedOn w:val="Absatz-Standardschriftart"/>
    <w:uiPriority w:val="22"/>
    <w:qFormat/>
    <w:rsid w:val="00F7055E"/>
    <w:rPr>
      <w:b/>
      <w:bCs/>
    </w:rPr>
  </w:style>
  <w:style w:type="character" w:styleId="Hyperlink">
    <w:name w:val="Hyperlink"/>
    <w:basedOn w:val="Absatz-Standardschriftart"/>
    <w:unhideWhenUsed/>
    <w:rsid w:val="00F7055E"/>
    <w:rPr>
      <w:color w:val="0000FF"/>
      <w:u w:val="single"/>
    </w:rPr>
  </w:style>
  <w:style w:type="paragraph" w:styleId="StandardWeb">
    <w:name w:val="Normal (Web)"/>
    <w:basedOn w:val="Standard"/>
    <w:uiPriority w:val="99"/>
    <w:semiHidden/>
    <w:unhideWhenUsed/>
    <w:rsid w:val="002C077A"/>
    <w:pPr>
      <w:spacing w:before="100" w:beforeAutospacing="1" w:after="100" w:afterAutospacing="1"/>
    </w:pPr>
    <w:rPr>
      <w:rFonts w:eastAsia="Times New Roman" w:cs="Times New Roman"/>
      <w:szCs w:val="24"/>
      <w:lang w:eastAsia="de-DE"/>
    </w:rPr>
  </w:style>
  <w:style w:type="paragraph" w:styleId="Kopfzeile">
    <w:name w:val="header"/>
    <w:basedOn w:val="Standard"/>
    <w:link w:val="KopfzeileZchn"/>
    <w:uiPriority w:val="99"/>
    <w:unhideWhenUsed/>
    <w:rsid w:val="008B4373"/>
    <w:pPr>
      <w:tabs>
        <w:tab w:val="center" w:pos="4536"/>
        <w:tab w:val="right" w:pos="9072"/>
      </w:tabs>
    </w:pPr>
  </w:style>
  <w:style w:type="character" w:customStyle="1" w:styleId="KopfzeileZchn">
    <w:name w:val="Kopfzeile Zchn"/>
    <w:basedOn w:val="Absatz-Standardschriftart"/>
    <w:link w:val="Kopfzeile"/>
    <w:uiPriority w:val="99"/>
    <w:rsid w:val="008B4373"/>
    <w:rPr>
      <w:rFonts w:ascii="Times New Roman" w:hAnsi="Times New Roman"/>
      <w:kern w:val="0"/>
      <w:szCs w:val="22"/>
      <w14:ligatures w14:val="none"/>
    </w:rPr>
  </w:style>
  <w:style w:type="paragraph" w:styleId="Fuzeile">
    <w:name w:val="footer"/>
    <w:basedOn w:val="Standard"/>
    <w:link w:val="FuzeileZchn"/>
    <w:uiPriority w:val="99"/>
    <w:unhideWhenUsed/>
    <w:rsid w:val="008B4373"/>
    <w:pPr>
      <w:tabs>
        <w:tab w:val="center" w:pos="4536"/>
        <w:tab w:val="right" w:pos="9072"/>
      </w:tabs>
    </w:pPr>
  </w:style>
  <w:style w:type="character" w:customStyle="1" w:styleId="FuzeileZchn">
    <w:name w:val="Fußzeile Zchn"/>
    <w:basedOn w:val="Absatz-Standardschriftart"/>
    <w:link w:val="Fuzeile"/>
    <w:uiPriority w:val="99"/>
    <w:rsid w:val="008B4373"/>
    <w:rPr>
      <w:rFonts w:ascii="Times New Roman" w:hAnsi="Times New Roman"/>
      <w:kern w:val="0"/>
      <w:szCs w:val="22"/>
      <w14:ligatures w14:val="none"/>
    </w:rPr>
  </w:style>
  <w:style w:type="paragraph" w:styleId="Funotentext">
    <w:name w:val="footnote text"/>
    <w:basedOn w:val="Standard"/>
    <w:link w:val="FunotentextZchn"/>
    <w:uiPriority w:val="99"/>
    <w:semiHidden/>
    <w:unhideWhenUsed/>
    <w:rsid w:val="002D58D5"/>
    <w:rPr>
      <w:sz w:val="20"/>
      <w:szCs w:val="20"/>
    </w:rPr>
  </w:style>
  <w:style w:type="character" w:customStyle="1" w:styleId="FunotentextZchn">
    <w:name w:val="Fußnotentext Zchn"/>
    <w:basedOn w:val="Absatz-Standardschriftart"/>
    <w:link w:val="Funotentext"/>
    <w:uiPriority w:val="99"/>
    <w:semiHidden/>
    <w:rsid w:val="002D58D5"/>
    <w:rPr>
      <w:rFonts w:ascii="Times New Roman" w:hAnsi="Times New Roman"/>
      <w:kern w:val="0"/>
      <w:sz w:val="20"/>
      <w:szCs w:val="20"/>
      <w14:ligatures w14:val="none"/>
    </w:rPr>
  </w:style>
  <w:style w:type="character" w:styleId="Funotenzeichen">
    <w:name w:val="footnote reference"/>
    <w:basedOn w:val="Absatz-Standardschriftart"/>
    <w:uiPriority w:val="99"/>
    <w:semiHidden/>
    <w:unhideWhenUsed/>
    <w:rsid w:val="002D58D5"/>
    <w:rPr>
      <w:vertAlign w:val="superscript"/>
    </w:rPr>
  </w:style>
  <w:style w:type="character" w:styleId="NichtaufgelsteErwhnung">
    <w:name w:val="Unresolved Mention"/>
    <w:basedOn w:val="Absatz-Standardschriftart"/>
    <w:uiPriority w:val="99"/>
    <w:semiHidden/>
    <w:unhideWhenUsed/>
    <w:rsid w:val="002D58D5"/>
    <w:rPr>
      <w:color w:val="605E5C"/>
      <w:shd w:val="clear" w:color="auto" w:fill="E1DFDD"/>
    </w:rPr>
  </w:style>
  <w:style w:type="character" w:styleId="BesuchterLink">
    <w:name w:val="FollowedHyperlink"/>
    <w:basedOn w:val="Absatz-Standardschriftart"/>
    <w:uiPriority w:val="99"/>
    <w:semiHidden/>
    <w:unhideWhenUsed/>
    <w:rsid w:val="00540412"/>
    <w:rPr>
      <w:color w:val="96607D" w:themeColor="followedHyperlink"/>
      <w:u w:val="single"/>
    </w:rPr>
  </w:style>
  <w:style w:type="character" w:styleId="Kommentarzeichen">
    <w:name w:val="annotation reference"/>
    <w:basedOn w:val="Absatz-Standardschriftart"/>
    <w:uiPriority w:val="99"/>
    <w:semiHidden/>
    <w:unhideWhenUsed/>
    <w:rsid w:val="00F05D5F"/>
    <w:rPr>
      <w:sz w:val="16"/>
      <w:szCs w:val="16"/>
    </w:rPr>
  </w:style>
  <w:style w:type="paragraph" w:styleId="Kommentartext">
    <w:name w:val="annotation text"/>
    <w:basedOn w:val="Standard"/>
    <w:link w:val="KommentartextZchn"/>
    <w:uiPriority w:val="99"/>
    <w:unhideWhenUsed/>
    <w:rsid w:val="00F05D5F"/>
    <w:rPr>
      <w:sz w:val="20"/>
      <w:szCs w:val="20"/>
    </w:rPr>
  </w:style>
  <w:style w:type="character" w:customStyle="1" w:styleId="KommentartextZchn">
    <w:name w:val="Kommentartext Zchn"/>
    <w:basedOn w:val="Absatz-Standardschriftart"/>
    <w:link w:val="Kommentartext"/>
    <w:uiPriority w:val="99"/>
    <w:rsid w:val="00F05D5F"/>
    <w:rPr>
      <w:rFonts w:ascii="Times New Roman" w:hAnsi="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F05D5F"/>
    <w:rPr>
      <w:b/>
      <w:bCs/>
    </w:rPr>
  </w:style>
  <w:style w:type="character" w:customStyle="1" w:styleId="KommentarthemaZchn">
    <w:name w:val="Kommentarthema Zchn"/>
    <w:basedOn w:val="KommentartextZchn"/>
    <w:link w:val="Kommentarthema"/>
    <w:uiPriority w:val="99"/>
    <w:semiHidden/>
    <w:rsid w:val="00F05D5F"/>
    <w:rPr>
      <w:rFonts w:ascii="Times New Roman" w:hAnsi="Times New Roman"/>
      <w:b/>
      <w:bCs/>
      <w:kern w:val="0"/>
      <w:sz w:val="20"/>
      <w:szCs w:val="20"/>
      <w14:ligatures w14:val="none"/>
    </w:rPr>
  </w:style>
  <w:style w:type="paragraph" w:styleId="berarbeitung">
    <w:name w:val="Revision"/>
    <w:hidden/>
    <w:uiPriority w:val="99"/>
    <w:semiHidden/>
    <w:rsid w:val="00CC4381"/>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294">
      <w:bodyDiv w:val="1"/>
      <w:marLeft w:val="0"/>
      <w:marRight w:val="0"/>
      <w:marTop w:val="0"/>
      <w:marBottom w:val="0"/>
      <w:divBdr>
        <w:top w:val="none" w:sz="0" w:space="0" w:color="auto"/>
        <w:left w:val="none" w:sz="0" w:space="0" w:color="auto"/>
        <w:bottom w:val="none" w:sz="0" w:space="0" w:color="auto"/>
        <w:right w:val="none" w:sz="0" w:space="0" w:color="auto"/>
      </w:divBdr>
    </w:div>
    <w:div w:id="1697387824">
      <w:bodyDiv w:val="1"/>
      <w:marLeft w:val="0"/>
      <w:marRight w:val="0"/>
      <w:marTop w:val="0"/>
      <w:marBottom w:val="0"/>
      <w:divBdr>
        <w:top w:val="none" w:sz="0" w:space="0" w:color="auto"/>
        <w:left w:val="none" w:sz="0" w:space="0" w:color="auto"/>
        <w:bottom w:val="none" w:sz="0" w:space="0" w:color="auto"/>
        <w:right w:val="none" w:sz="0" w:space="0" w:color="auto"/>
      </w:divBdr>
      <w:divsChild>
        <w:div w:id="1119103562">
          <w:marLeft w:val="0"/>
          <w:marRight w:val="0"/>
          <w:marTop w:val="0"/>
          <w:marBottom w:val="0"/>
          <w:divBdr>
            <w:top w:val="none" w:sz="0" w:space="0" w:color="auto"/>
            <w:left w:val="none" w:sz="0" w:space="0" w:color="auto"/>
            <w:bottom w:val="none" w:sz="0" w:space="0" w:color="auto"/>
            <w:right w:val="none" w:sz="0" w:space="0" w:color="auto"/>
          </w:divBdr>
          <w:divsChild>
            <w:div w:id="1801070456">
              <w:marLeft w:val="0"/>
              <w:marRight w:val="0"/>
              <w:marTop w:val="0"/>
              <w:marBottom w:val="0"/>
              <w:divBdr>
                <w:top w:val="none" w:sz="0" w:space="0" w:color="auto"/>
                <w:left w:val="none" w:sz="0" w:space="0" w:color="auto"/>
                <w:bottom w:val="none" w:sz="0" w:space="0" w:color="auto"/>
                <w:right w:val="none" w:sz="0" w:space="0" w:color="auto"/>
              </w:divBdr>
              <w:divsChild>
                <w:div w:id="465389816">
                  <w:marLeft w:val="0"/>
                  <w:marRight w:val="0"/>
                  <w:marTop w:val="0"/>
                  <w:marBottom w:val="0"/>
                  <w:divBdr>
                    <w:top w:val="none" w:sz="0" w:space="0" w:color="auto"/>
                    <w:left w:val="none" w:sz="0" w:space="0" w:color="auto"/>
                    <w:bottom w:val="none" w:sz="0" w:space="0" w:color="auto"/>
                    <w:right w:val="none" w:sz="0" w:space="0" w:color="auto"/>
                  </w:divBdr>
                  <w:divsChild>
                    <w:div w:id="1026518214">
                      <w:marLeft w:val="0"/>
                      <w:marRight w:val="0"/>
                      <w:marTop w:val="0"/>
                      <w:marBottom w:val="0"/>
                      <w:divBdr>
                        <w:top w:val="none" w:sz="0" w:space="0" w:color="auto"/>
                        <w:left w:val="none" w:sz="0" w:space="0" w:color="auto"/>
                        <w:bottom w:val="none" w:sz="0" w:space="0" w:color="auto"/>
                        <w:right w:val="none" w:sz="0" w:space="0" w:color="auto"/>
                      </w:divBdr>
                      <w:divsChild>
                        <w:div w:id="17020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tati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ls.thueringen.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tatistik.thueringen.de/datenbank/TabAnzeige.asp?tabelle=kv000101&amp;startpage=1&amp;datcsv=&amp;richtung=&amp;sortiere=&amp;vorspalte=0&amp;anzahlH=-1&amp;fontgr=13&amp;mkro=&amp;AnzeigeAuswahl=&amp;XLS=&amp;auswahlNr=&amp;felder=0&amp;felder=1&amp;felder=2&amp;felder=3&amp;felder=4&amp;felder=5&amp;felder=6&amp;felder=7&amp;felder=8&amp;zeit=2024%7C%7Cv4&amp;anzahlZellen=207" TargetMode="External"/><Relationship Id="rId1" Type="http://schemas.openxmlformats.org/officeDocument/2006/relationships/hyperlink" Target="https://www.destatis.de/DE/Presse/Pressemitteilungen/2026/01/PD26_032_124.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2108-EE82-480A-8EC4-B6F4E6B3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10581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Richardt, Iris (vtw)</dc:creator>
  <cp:keywords/>
  <dc:description/>
  <cp:lastModifiedBy>Maximilian Laue</cp:lastModifiedBy>
  <cp:revision>2</cp:revision>
  <dcterms:created xsi:type="dcterms:W3CDTF">2026-04-29T13:00:00Z</dcterms:created>
  <dcterms:modified xsi:type="dcterms:W3CDTF">2026-04-29T13:00:00Z</dcterms:modified>
</cp:coreProperties>
</file>