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0" w:rsidRPr="00333D36" w:rsidRDefault="00BB60C0" w:rsidP="00BB60C0">
      <w:pPr>
        <w:jc w:val="both"/>
        <w:rPr>
          <w:rFonts w:ascii="Arial" w:eastAsia="Times New Roman" w:hAnsi="Arial" w:cs="Arial"/>
          <w:b/>
          <w:sz w:val="28"/>
          <w:szCs w:val="28"/>
          <w:lang w:eastAsia="de-DE"/>
        </w:rPr>
      </w:pPr>
      <w:r w:rsidRPr="00333D36">
        <w:rPr>
          <w:rFonts w:ascii="Arial" w:eastAsia="Times New Roman" w:hAnsi="Arial" w:cs="Arial"/>
          <w:b/>
          <w:sz w:val="28"/>
          <w:szCs w:val="28"/>
          <w:lang w:eastAsia="de-DE"/>
        </w:rPr>
        <w:t>Textbausteine für den Geschäftsbericht 201</w:t>
      </w:r>
      <w:r>
        <w:rPr>
          <w:rFonts w:ascii="Arial" w:eastAsia="Times New Roman" w:hAnsi="Arial" w:cs="Arial"/>
          <w:b/>
          <w:sz w:val="28"/>
          <w:szCs w:val="28"/>
          <w:lang w:eastAsia="de-DE"/>
        </w:rPr>
        <w:t xml:space="preserve">9 – Stand </w:t>
      </w:r>
      <w:r w:rsidR="007E5A1C">
        <w:rPr>
          <w:rFonts w:ascii="Arial" w:eastAsia="Times New Roman" w:hAnsi="Arial" w:cs="Arial"/>
          <w:b/>
          <w:sz w:val="28"/>
          <w:szCs w:val="28"/>
          <w:lang w:eastAsia="de-DE"/>
        </w:rPr>
        <w:t>April</w:t>
      </w:r>
      <w:r>
        <w:rPr>
          <w:rFonts w:ascii="Arial" w:eastAsia="Times New Roman" w:hAnsi="Arial" w:cs="Arial"/>
          <w:b/>
          <w:sz w:val="28"/>
          <w:szCs w:val="28"/>
          <w:lang w:eastAsia="de-DE"/>
        </w:rPr>
        <w:t xml:space="preserve"> 2020</w:t>
      </w:r>
    </w:p>
    <w:p w:rsidR="00BB60C0" w:rsidRDefault="00BB60C0" w:rsidP="00BB60C0">
      <w:pPr>
        <w:jc w:val="both"/>
        <w:rPr>
          <w:rFonts w:ascii="Arial" w:eastAsia="Times New Roman" w:hAnsi="Arial" w:cs="Arial"/>
          <w:sz w:val="22"/>
          <w:szCs w:val="24"/>
          <w:lang w:eastAsia="de-DE"/>
        </w:rPr>
      </w:pPr>
    </w:p>
    <w:p w:rsidR="005F6ED5" w:rsidRDefault="005F6ED5" w:rsidP="005F6ED5">
      <w:pPr>
        <w:jc w:val="both"/>
        <w:rPr>
          <w:rFonts w:ascii="Arial" w:hAnsi="Arial" w:cs="Arial"/>
          <w:sz w:val="22"/>
        </w:rPr>
      </w:pPr>
      <w:r>
        <w:rPr>
          <w:rFonts w:ascii="Arial" w:hAnsi="Arial" w:cs="Arial"/>
          <w:sz w:val="22"/>
        </w:rPr>
        <w:t xml:space="preserve">Eine </w:t>
      </w:r>
      <w:r w:rsidRPr="00DB51A2">
        <w:rPr>
          <w:rFonts w:ascii="Arial" w:hAnsi="Arial" w:cs="Arial"/>
          <w:sz w:val="22"/>
        </w:rPr>
        <w:t>erste Fassung der Textbausteine für den Geschäftsbericht des Jahres 201</w:t>
      </w:r>
      <w:r>
        <w:rPr>
          <w:rFonts w:ascii="Arial" w:hAnsi="Arial" w:cs="Arial"/>
          <w:sz w:val="22"/>
        </w:rPr>
        <w:t>9 wurde E</w:t>
      </w:r>
      <w:r>
        <w:rPr>
          <w:rFonts w:ascii="Arial" w:hAnsi="Arial" w:cs="Arial"/>
          <w:sz w:val="22"/>
        </w:rPr>
        <w:t>n</w:t>
      </w:r>
      <w:r>
        <w:rPr>
          <w:rFonts w:ascii="Arial" w:hAnsi="Arial" w:cs="Arial"/>
          <w:sz w:val="22"/>
        </w:rPr>
        <w:t>de Januar 2020 im Mitgliederbereich des vtw unter Wissensmanagement</w:t>
      </w:r>
      <w:r w:rsidR="00A82506">
        <w:rPr>
          <w:rFonts w:ascii="Arial" w:hAnsi="Arial" w:cs="Arial"/>
          <w:sz w:val="22"/>
        </w:rPr>
        <w:t xml:space="preserve"> </w:t>
      </w:r>
      <w:r>
        <w:rPr>
          <w:rFonts w:ascii="Arial" w:hAnsi="Arial" w:cs="Arial"/>
          <w:sz w:val="22"/>
        </w:rPr>
        <w:t>/</w:t>
      </w:r>
      <w:r w:rsidR="00A82506">
        <w:rPr>
          <w:rFonts w:ascii="Arial" w:hAnsi="Arial" w:cs="Arial"/>
          <w:sz w:val="22"/>
        </w:rPr>
        <w:t xml:space="preserve"> </w:t>
      </w:r>
      <w:r>
        <w:rPr>
          <w:rFonts w:ascii="Arial" w:hAnsi="Arial" w:cs="Arial"/>
          <w:sz w:val="22"/>
        </w:rPr>
        <w:t>Fachbeiträge</w:t>
      </w:r>
      <w:r w:rsidR="00A82506">
        <w:rPr>
          <w:rFonts w:ascii="Arial" w:hAnsi="Arial" w:cs="Arial"/>
          <w:sz w:val="22"/>
        </w:rPr>
        <w:t xml:space="preserve"> </w:t>
      </w:r>
      <w:r>
        <w:rPr>
          <w:rFonts w:ascii="Arial" w:hAnsi="Arial" w:cs="Arial"/>
          <w:sz w:val="22"/>
        </w:rPr>
        <w:t>/</w:t>
      </w:r>
      <w:r w:rsidR="00A82506">
        <w:rPr>
          <w:rFonts w:ascii="Arial" w:hAnsi="Arial" w:cs="Arial"/>
          <w:sz w:val="22"/>
        </w:rPr>
        <w:t xml:space="preserve"> </w:t>
      </w:r>
      <w:r>
        <w:rPr>
          <w:rFonts w:ascii="Arial" w:hAnsi="Arial" w:cs="Arial"/>
          <w:sz w:val="22"/>
        </w:rPr>
        <w:t xml:space="preserve">Betriebswirtschaft </w:t>
      </w:r>
      <w:r w:rsidRPr="00DB51A2">
        <w:rPr>
          <w:rFonts w:ascii="Arial" w:hAnsi="Arial" w:cs="Arial"/>
          <w:sz w:val="22"/>
        </w:rPr>
        <w:t>veröffentlicht</w:t>
      </w:r>
      <w:r>
        <w:rPr>
          <w:rFonts w:ascii="Arial" w:hAnsi="Arial" w:cs="Arial"/>
          <w:sz w:val="22"/>
        </w:rPr>
        <w:t xml:space="preserve"> (siehe auch vtw-Newsletter 4/2020)</w:t>
      </w:r>
      <w:r w:rsidRPr="00DB51A2">
        <w:rPr>
          <w:rFonts w:ascii="Arial" w:hAnsi="Arial" w:cs="Arial"/>
          <w:sz w:val="22"/>
        </w:rPr>
        <w:t>. Diese beinhaltete akt</w:t>
      </w:r>
      <w:r w:rsidRPr="00DB51A2">
        <w:rPr>
          <w:rFonts w:ascii="Arial" w:hAnsi="Arial" w:cs="Arial"/>
          <w:sz w:val="22"/>
        </w:rPr>
        <w:t>u</w:t>
      </w:r>
      <w:r w:rsidRPr="00DB51A2">
        <w:rPr>
          <w:rFonts w:ascii="Arial" w:hAnsi="Arial" w:cs="Arial"/>
          <w:sz w:val="22"/>
        </w:rPr>
        <w:t>elle Informationen zur wirtschaftlichen Lage in Deutschland und in Thüringen sowie zur Branchenentwicklung</w:t>
      </w:r>
      <w:r>
        <w:rPr>
          <w:rFonts w:ascii="Arial" w:hAnsi="Arial" w:cs="Arial"/>
          <w:sz w:val="22"/>
        </w:rPr>
        <w:t xml:space="preserve"> auf der Basis der</w:t>
      </w:r>
      <w:r w:rsidRPr="00DB51A2">
        <w:rPr>
          <w:rFonts w:ascii="Arial" w:hAnsi="Arial" w:cs="Arial"/>
          <w:sz w:val="22"/>
        </w:rPr>
        <w:t xml:space="preserve"> Ergebnisse der Jahresstatistik zum 31.12.201</w:t>
      </w:r>
      <w:r>
        <w:rPr>
          <w:rFonts w:ascii="Arial" w:hAnsi="Arial" w:cs="Arial"/>
          <w:sz w:val="22"/>
        </w:rPr>
        <w:t>8</w:t>
      </w:r>
      <w:r w:rsidRPr="00DB51A2">
        <w:rPr>
          <w:rFonts w:ascii="Arial" w:hAnsi="Arial" w:cs="Arial"/>
          <w:sz w:val="22"/>
        </w:rPr>
        <w:t xml:space="preserve"> und unter Einbeziehung der Ergebnisse des Betriebsvergleiches zum 31.12.201</w:t>
      </w:r>
      <w:r>
        <w:rPr>
          <w:rFonts w:ascii="Arial" w:hAnsi="Arial" w:cs="Arial"/>
          <w:sz w:val="22"/>
        </w:rPr>
        <w:t>8</w:t>
      </w:r>
      <w:r w:rsidRPr="00DB51A2">
        <w:rPr>
          <w:rFonts w:ascii="Arial" w:hAnsi="Arial" w:cs="Arial"/>
          <w:sz w:val="22"/>
        </w:rPr>
        <w:t xml:space="preserve">. </w:t>
      </w:r>
    </w:p>
    <w:p w:rsidR="005F6ED5" w:rsidRDefault="005F6ED5" w:rsidP="005F6ED5">
      <w:pPr>
        <w:jc w:val="both"/>
        <w:rPr>
          <w:rFonts w:ascii="Arial" w:hAnsi="Arial" w:cs="Arial"/>
          <w:sz w:val="22"/>
        </w:rPr>
      </w:pPr>
    </w:p>
    <w:p w:rsidR="00BB60C0" w:rsidRDefault="006960C4" w:rsidP="00BB60C0">
      <w:pPr>
        <w:jc w:val="both"/>
        <w:rPr>
          <w:rFonts w:ascii="Arial" w:eastAsia="Times New Roman" w:hAnsi="Arial" w:cs="Arial"/>
          <w:sz w:val="22"/>
          <w:lang w:eastAsia="de-DE"/>
        </w:rPr>
      </w:pPr>
      <w:r>
        <w:rPr>
          <w:rFonts w:ascii="Arial" w:hAnsi="Arial" w:cs="Arial"/>
          <w:sz w:val="22"/>
        </w:rPr>
        <w:t xml:space="preserve">Nunmehr </w:t>
      </w:r>
      <w:r w:rsidR="005F6ED5" w:rsidRPr="00DB51A2">
        <w:rPr>
          <w:rFonts w:ascii="Arial" w:hAnsi="Arial" w:cs="Arial"/>
          <w:sz w:val="22"/>
        </w:rPr>
        <w:t>liegen die Ergebnisse der Jahresstatistik des GdW und der Regionalverbände zum 31.12.201</w:t>
      </w:r>
      <w:r>
        <w:rPr>
          <w:rFonts w:ascii="Arial" w:hAnsi="Arial" w:cs="Arial"/>
          <w:sz w:val="22"/>
        </w:rPr>
        <w:t>9</w:t>
      </w:r>
      <w:r w:rsidR="005F6ED5" w:rsidRPr="00DB51A2">
        <w:rPr>
          <w:rFonts w:ascii="Arial" w:hAnsi="Arial" w:cs="Arial"/>
          <w:sz w:val="22"/>
        </w:rPr>
        <w:t xml:space="preserve"> vor, sodass Teil II „Branchenentwicklung“ </w:t>
      </w:r>
      <w:r>
        <w:rPr>
          <w:rFonts w:ascii="Arial" w:hAnsi="Arial" w:cs="Arial"/>
          <w:sz w:val="22"/>
        </w:rPr>
        <w:t>aktualisiert wurde</w:t>
      </w:r>
      <w:r w:rsidR="005F6ED5" w:rsidRPr="00DB51A2">
        <w:rPr>
          <w:rFonts w:ascii="Arial" w:hAnsi="Arial" w:cs="Arial"/>
          <w:sz w:val="22"/>
        </w:rPr>
        <w:t>.</w:t>
      </w:r>
      <w:r>
        <w:rPr>
          <w:rFonts w:ascii="Arial" w:hAnsi="Arial" w:cs="Arial"/>
          <w:sz w:val="22"/>
        </w:rPr>
        <w:t xml:space="preserve"> </w:t>
      </w:r>
      <w:r w:rsidR="00091A5B">
        <w:rPr>
          <w:rFonts w:ascii="Arial" w:hAnsi="Arial" w:cs="Arial"/>
          <w:sz w:val="22"/>
        </w:rPr>
        <w:t>Grundlegend übe</w:t>
      </w:r>
      <w:r w:rsidR="00091A5B">
        <w:rPr>
          <w:rFonts w:ascii="Arial" w:hAnsi="Arial" w:cs="Arial"/>
          <w:sz w:val="22"/>
        </w:rPr>
        <w:t>r</w:t>
      </w:r>
      <w:r w:rsidR="00091A5B">
        <w:rPr>
          <w:rFonts w:ascii="Arial" w:hAnsi="Arial" w:cs="Arial"/>
          <w:sz w:val="22"/>
        </w:rPr>
        <w:t>arbeitet wurde</w:t>
      </w:r>
      <w:r>
        <w:rPr>
          <w:rFonts w:ascii="Arial" w:hAnsi="Arial" w:cs="Arial"/>
          <w:sz w:val="22"/>
        </w:rPr>
        <w:t xml:space="preserve"> Teil I „Wirtschaftliche Lage in Deutschland und Thüringen“, da die bisherigen Aussagen insbesondere zur konjunkturellen Entwicklung im Zuge der Corona-Pandemie obsolet geworden sind. Basis dafür ist im Wesentlichen das Frühjahrsgutachten „Gemei</w:t>
      </w:r>
      <w:r>
        <w:rPr>
          <w:rFonts w:ascii="Arial" w:hAnsi="Arial" w:cs="Arial"/>
          <w:sz w:val="22"/>
        </w:rPr>
        <w:t>n</w:t>
      </w:r>
      <w:r>
        <w:rPr>
          <w:rFonts w:ascii="Arial" w:hAnsi="Arial" w:cs="Arial"/>
          <w:sz w:val="22"/>
        </w:rPr>
        <w:t>schaftsdiagnose#1-2020“ der Projektgruppe Gemeinschaftsdiagnose im Auftrag des Bu</w:t>
      </w:r>
      <w:r>
        <w:rPr>
          <w:rFonts w:ascii="Arial" w:hAnsi="Arial" w:cs="Arial"/>
          <w:sz w:val="22"/>
        </w:rPr>
        <w:t>n</w:t>
      </w:r>
      <w:r>
        <w:rPr>
          <w:rFonts w:ascii="Arial" w:hAnsi="Arial" w:cs="Arial"/>
          <w:sz w:val="22"/>
        </w:rPr>
        <w:t xml:space="preserve">desministeriums für Wirtschaft und Energie vom 08.04.2020. Der Projektgruppe gehören die folgenden fünf führenden deutschen Wirtschaftsinstitute an: DIW Berlin, ifo Institut München, </w:t>
      </w:r>
      <w:proofErr w:type="spellStart"/>
      <w:r>
        <w:rPr>
          <w:rFonts w:ascii="Arial" w:hAnsi="Arial" w:cs="Arial"/>
          <w:sz w:val="22"/>
        </w:rPr>
        <w:t>IfW</w:t>
      </w:r>
      <w:proofErr w:type="spellEnd"/>
      <w:r>
        <w:rPr>
          <w:rFonts w:ascii="Arial" w:hAnsi="Arial" w:cs="Arial"/>
          <w:sz w:val="22"/>
        </w:rPr>
        <w:t xml:space="preserve"> Kiel, IWH und RWI.</w:t>
      </w:r>
      <w:r w:rsidR="00091A5B">
        <w:rPr>
          <w:rFonts w:ascii="Arial" w:hAnsi="Arial" w:cs="Arial"/>
          <w:sz w:val="22"/>
        </w:rPr>
        <w:t xml:space="preserve"> Ergänzend wurden</w:t>
      </w:r>
      <w:r w:rsidR="00BB60C0" w:rsidRPr="00333D36">
        <w:rPr>
          <w:rFonts w:ascii="Arial" w:eastAsia="Times New Roman" w:hAnsi="Arial" w:cs="Arial"/>
          <w:spacing w:val="4"/>
          <w:sz w:val="22"/>
          <w:lang w:eastAsia="de-DE"/>
        </w:rPr>
        <w:t xml:space="preserve"> Veröffentlichungen des Statistischen Bunde</w:t>
      </w:r>
      <w:r w:rsidR="00BB60C0" w:rsidRPr="00333D36">
        <w:rPr>
          <w:rFonts w:ascii="Arial" w:eastAsia="Times New Roman" w:hAnsi="Arial" w:cs="Arial"/>
          <w:spacing w:val="4"/>
          <w:sz w:val="22"/>
          <w:lang w:eastAsia="de-DE"/>
        </w:rPr>
        <w:t>s</w:t>
      </w:r>
      <w:r w:rsidR="00BB60C0" w:rsidRPr="00333D36">
        <w:rPr>
          <w:rFonts w:ascii="Arial" w:eastAsia="Times New Roman" w:hAnsi="Arial" w:cs="Arial"/>
          <w:spacing w:val="4"/>
          <w:sz w:val="22"/>
          <w:lang w:eastAsia="de-DE"/>
        </w:rPr>
        <w:t>amtes</w:t>
      </w:r>
      <w:r w:rsidR="00091A5B">
        <w:rPr>
          <w:rFonts w:ascii="Arial" w:eastAsia="Times New Roman" w:hAnsi="Arial" w:cs="Arial"/>
          <w:spacing w:val="4"/>
          <w:sz w:val="22"/>
          <w:lang w:eastAsia="de-DE"/>
        </w:rPr>
        <w:t xml:space="preserve"> </w:t>
      </w:r>
      <w:r w:rsidR="00BB60C0" w:rsidRPr="00333D36">
        <w:rPr>
          <w:rFonts w:ascii="Arial" w:eastAsia="Times New Roman" w:hAnsi="Arial" w:cs="Arial"/>
          <w:spacing w:val="4"/>
          <w:sz w:val="22"/>
          <w:lang w:eastAsia="de-DE"/>
        </w:rPr>
        <w:t>und des Thüringer Landesamtes für Statistik</w:t>
      </w:r>
      <w:r w:rsidR="00091A5B">
        <w:rPr>
          <w:rFonts w:ascii="Arial" w:eastAsia="Times New Roman" w:hAnsi="Arial" w:cs="Arial"/>
          <w:spacing w:val="4"/>
          <w:sz w:val="22"/>
          <w:lang w:eastAsia="de-DE"/>
        </w:rPr>
        <w:t xml:space="preserve"> herangezogen.</w:t>
      </w:r>
    </w:p>
    <w:p w:rsidR="00BB60C0" w:rsidRPr="00333D36" w:rsidRDefault="00BB60C0" w:rsidP="00BB60C0">
      <w:pPr>
        <w:jc w:val="both"/>
        <w:rPr>
          <w:rFonts w:ascii="Arial" w:eastAsia="Times New Roman" w:hAnsi="Arial" w:cs="Arial"/>
          <w:sz w:val="22"/>
          <w:lang w:eastAsia="de-DE"/>
        </w:rPr>
      </w:pPr>
    </w:p>
    <w:p w:rsidR="00BB60C0" w:rsidRPr="00333D36" w:rsidRDefault="00BB60C0" w:rsidP="00BB60C0">
      <w:pPr>
        <w:numPr>
          <w:ilvl w:val="0"/>
          <w:numId w:val="1"/>
        </w:numPr>
        <w:jc w:val="both"/>
        <w:rPr>
          <w:rFonts w:ascii="Arial" w:eastAsia="Times New Roman" w:hAnsi="Arial" w:cs="Arial"/>
          <w:b/>
          <w:sz w:val="22"/>
          <w:lang w:eastAsia="de-DE"/>
        </w:rPr>
      </w:pPr>
      <w:r w:rsidRPr="00333D36">
        <w:rPr>
          <w:rFonts w:ascii="Arial" w:eastAsia="Times New Roman" w:hAnsi="Arial" w:cs="Arial"/>
          <w:b/>
          <w:sz w:val="22"/>
          <w:lang w:eastAsia="de-DE"/>
        </w:rPr>
        <w:t>Wirtschaftliche Lage in Deutschland und in Thüringen</w:t>
      </w:r>
    </w:p>
    <w:p w:rsidR="00BB60C0" w:rsidRPr="00333D36" w:rsidRDefault="00BB60C0" w:rsidP="00BB60C0">
      <w:pPr>
        <w:jc w:val="both"/>
        <w:rPr>
          <w:rFonts w:ascii="Arial" w:eastAsia="Times New Roman" w:hAnsi="Arial" w:cs="Arial"/>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Konjunkturelle Entwicklung</w:t>
      </w:r>
    </w:p>
    <w:p w:rsidR="00BB60C0" w:rsidRPr="005E6BA4" w:rsidRDefault="00BB60C0" w:rsidP="00BB60C0">
      <w:pPr>
        <w:jc w:val="both"/>
        <w:rPr>
          <w:rFonts w:ascii="Arial" w:eastAsia="Times New Roman" w:hAnsi="Arial" w:cs="Arial"/>
          <w:sz w:val="22"/>
          <w:lang w:eastAsia="de-DE"/>
        </w:rPr>
      </w:pPr>
    </w:p>
    <w:p w:rsidR="00BB60C0" w:rsidRPr="005E6BA4" w:rsidRDefault="00BB60C0" w:rsidP="00BB60C0">
      <w:pPr>
        <w:jc w:val="both"/>
        <w:rPr>
          <w:rFonts w:ascii="Arial" w:hAnsi="Arial" w:cs="Arial"/>
          <w:sz w:val="22"/>
        </w:rPr>
      </w:pPr>
      <w:r w:rsidRPr="005E6BA4">
        <w:rPr>
          <w:rFonts w:ascii="Arial" w:hAnsi="Arial" w:cs="Arial"/>
          <w:sz w:val="22"/>
        </w:rPr>
        <w:t>Das preisbereinigte Bruttoinlandsprodukt (BIP) war im Jahr 201</w:t>
      </w:r>
      <w:r>
        <w:rPr>
          <w:rFonts w:ascii="Arial" w:hAnsi="Arial" w:cs="Arial"/>
          <w:sz w:val="22"/>
        </w:rPr>
        <w:t>9</w:t>
      </w:r>
      <w:r w:rsidRPr="005E6BA4">
        <w:rPr>
          <w:rFonts w:ascii="Arial" w:hAnsi="Arial" w:cs="Arial"/>
          <w:sz w:val="22"/>
        </w:rPr>
        <w:t xml:space="preserve"> nach Berechnungen des Statistischen Bundesamtes (Destatis) um 0,6 % höher als im Vorjahr. Die deutsche Wir</w:t>
      </w:r>
      <w:r w:rsidRPr="005E6BA4">
        <w:rPr>
          <w:rFonts w:ascii="Arial" w:hAnsi="Arial" w:cs="Arial"/>
          <w:sz w:val="22"/>
        </w:rPr>
        <w:t>t</w:t>
      </w:r>
      <w:r w:rsidRPr="005E6BA4">
        <w:rPr>
          <w:rFonts w:ascii="Arial" w:hAnsi="Arial" w:cs="Arial"/>
          <w:sz w:val="22"/>
        </w:rPr>
        <w:t xml:space="preserve">schaft ist damit das zehnte Jahr in Folge gewachsen. Dies </w:t>
      </w:r>
      <w:r w:rsidR="00816421">
        <w:rPr>
          <w:rFonts w:ascii="Arial" w:hAnsi="Arial" w:cs="Arial"/>
          <w:sz w:val="22"/>
        </w:rPr>
        <w:t>war</w:t>
      </w:r>
      <w:r w:rsidRPr="005E6BA4">
        <w:rPr>
          <w:rFonts w:ascii="Arial" w:hAnsi="Arial" w:cs="Arial"/>
          <w:sz w:val="22"/>
        </w:rPr>
        <w:t xml:space="preserve"> die längste Wachstumsphase im vereinten Deutschland. Gestützt wurde das Wachstum im Jahr 2019 vor allem vom Ko</w:t>
      </w:r>
      <w:r w:rsidRPr="005E6BA4">
        <w:rPr>
          <w:rFonts w:ascii="Arial" w:hAnsi="Arial" w:cs="Arial"/>
          <w:sz w:val="22"/>
        </w:rPr>
        <w:t>n</w:t>
      </w:r>
      <w:r w:rsidRPr="005E6BA4">
        <w:rPr>
          <w:rFonts w:ascii="Arial" w:hAnsi="Arial" w:cs="Arial"/>
          <w:sz w:val="22"/>
        </w:rPr>
        <w:t>sum: Die privaten Konsumausgaben waren 1,6 % höher als im Vorjahr, die Konsumausg</w:t>
      </w:r>
      <w:r w:rsidRPr="005E6BA4">
        <w:rPr>
          <w:rFonts w:ascii="Arial" w:hAnsi="Arial" w:cs="Arial"/>
          <w:sz w:val="22"/>
        </w:rPr>
        <w:t>a</w:t>
      </w:r>
      <w:r w:rsidRPr="005E6BA4">
        <w:rPr>
          <w:rFonts w:ascii="Arial" w:hAnsi="Arial" w:cs="Arial"/>
          <w:sz w:val="22"/>
        </w:rPr>
        <w:t xml:space="preserve">ben des Staates stiegen um 2,5 %. </w:t>
      </w:r>
    </w:p>
    <w:p w:rsidR="00BB60C0" w:rsidRPr="0011115D" w:rsidRDefault="00BB60C0" w:rsidP="00BB60C0">
      <w:pPr>
        <w:jc w:val="both"/>
        <w:rPr>
          <w:rFonts w:ascii="Arial" w:hAnsi="Arial" w:cs="Arial"/>
          <w:sz w:val="22"/>
        </w:rPr>
      </w:pPr>
    </w:p>
    <w:p w:rsidR="00BB60C0" w:rsidRPr="00243A8B" w:rsidRDefault="00BB60C0" w:rsidP="00BB60C0">
      <w:pPr>
        <w:jc w:val="both"/>
        <w:rPr>
          <w:rFonts w:ascii="Arial" w:eastAsia="Times New Roman" w:hAnsi="Arial" w:cs="Arial"/>
          <w:sz w:val="22"/>
          <w:lang w:eastAsia="de-DE"/>
        </w:rPr>
      </w:pPr>
      <w:r>
        <w:rPr>
          <w:rFonts w:ascii="Arial" w:eastAsia="Times New Roman" w:hAnsi="Arial" w:cs="Arial"/>
          <w:sz w:val="22"/>
          <w:lang w:eastAsia="de-DE"/>
        </w:rPr>
        <w:t xml:space="preserve">In Thüringen stieg das </w:t>
      </w:r>
      <w:r w:rsidRPr="0011115D">
        <w:rPr>
          <w:rFonts w:ascii="Arial" w:eastAsia="Times New Roman" w:hAnsi="Arial" w:cs="Arial"/>
          <w:sz w:val="22"/>
          <w:lang w:eastAsia="de-DE"/>
        </w:rPr>
        <w:t>Bruttoinlandsprodukt, d. h. der Wert der im Inland produzierten Güter und geleisteten Dienste, im 1.</w:t>
      </w:r>
      <w:r>
        <w:rPr>
          <w:rFonts w:ascii="Arial" w:eastAsia="Times New Roman" w:hAnsi="Arial" w:cs="Arial"/>
          <w:sz w:val="22"/>
          <w:lang w:eastAsia="de-DE"/>
        </w:rPr>
        <w:t xml:space="preserve"> </w:t>
      </w:r>
      <w:r w:rsidRPr="0011115D">
        <w:rPr>
          <w:rFonts w:ascii="Arial" w:eastAsia="Times New Roman" w:hAnsi="Arial" w:cs="Arial"/>
          <w:sz w:val="22"/>
          <w:lang w:eastAsia="de-DE"/>
        </w:rPr>
        <w:t>Halbjahr</w:t>
      </w:r>
      <w:r>
        <w:rPr>
          <w:rFonts w:ascii="Arial" w:eastAsia="Times New Roman" w:hAnsi="Arial" w:cs="Arial"/>
          <w:sz w:val="22"/>
          <w:lang w:eastAsia="de-DE"/>
        </w:rPr>
        <w:t xml:space="preserve"> </w:t>
      </w:r>
      <w:r w:rsidRPr="0011115D">
        <w:rPr>
          <w:rFonts w:ascii="Arial" w:eastAsia="Times New Roman" w:hAnsi="Arial" w:cs="Arial"/>
          <w:sz w:val="22"/>
          <w:lang w:eastAsia="de-DE"/>
        </w:rPr>
        <w:t>201</w:t>
      </w:r>
      <w:r>
        <w:rPr>
          <w:rFonts w:ascii="Arial" w:eastAsia="Times New Roman" w:hAnsi="Arial" w:cs="Arial"/>
          <w:sz w:val="22"/>
          <w:lang w:eastAsia="de-DE"/>
        </w:rPr>
        <w:t xml:space="preserve">9 </w:t>
      </w:r>
      <w:r w:rsidRPr="0011115D">
        <w:rPr>
          <w:rFonts w:ascii="Arial" w:eastAsia="Times New Roman" w:hAnsi="Arial" w:cs="Arial"/>
          <w:sz w:val="22"/>
          <w:lang w:eastAsia="de-DE"/>
        </w:rPr>
        <w:t>gegenüber dem 1.</w:t>
      </w:r>
      <w:r>
        <w:rPr>
          <w:rFonts w:ascii="Arial" w:eastAsia="Times New Roman" w:hAnsi="Arial" w:cs="Arial"/>
          <w:sz w:val="22"/>
          <w:lang w:eastAsia="de-DE"/>
        </w:rPr>
        <w:t xml:space="preserve"> </w:t>
      </w:r>
      <w:r w:rsidRPr="0011115D">
        <w:rPr>
          <w:rFonts w:ascii="Arial" w:eastAsia="Times New Roman" w:hAnsi="Arial" w:cs="Arial"/>
          <w:sz w:val="22"/>
          <w:lang w:eastAsia="de-DE"/>
        </w:rPr>
        <w:t>Halbjahr</w:t>
      </w:r>
      <w:r>
        <w:rPr>
          <w:rFonts w:ascii="Arial" w:eastAsia="Times New Roman" w:hAnsi="Arial" w:cs="Arial"/>
          <w:sz w:val="22"/>
          <w:lang w:eastAsia="de-DE"/>
        </w:rPr>
        <w:t xml:space="preserve"> </w:t>
      </w:r>
      <w:r w:rsidRPr="0011115D">
        <w:rPr>
          <w:rFonts w:ascii="Arial" w:eastAsia="Times New Roman" w:hAnsi="Arial" w:cs="Arial"/>
          <w:sz w:val="22"/>
          <w:lang w:eastAsia="de-DE"/>
        </w:rPr>
        <w:t>201</w:t>
      </w:r>
      <w:r>
        <w:rPr>
          <w:rFonts w:ascii="Arial" w:eastAsia="Times New Roman" w:hAnsi="Arial" w:cs="Arial"/>
          <w:sz w:val="22"/>
          <w:lang w:eastAsia="de-DE"/>
        </w:rPr>
        <w:t>8 nominal</w:t>
      </w:r>
      <w:r w:rsidRPr="0011115D">
        <w:rPr>
          <w:rFonts w:ascii="Arial" w:eastAsia="Times New Roman" w:hAnsi="Arial" w:cs="Arial"/>
          <w:sz w:val="22"/>
          <w:lang w:eastAsia="de-DE"/>
        </w:rPr>
        <w:t xml:space="preserve"> um </w:t>
      </w:r>
      <w:r>
        <w:rPr>
          <w:rFonts w:ascii="Arial" w:eastAsia="Times New Roman" w:hAnsi="Arial" w:cs="Arial"/>
          <w:sz w:val="22"/>
          <w:lang w:eastAsia="de-DE"/>
        </w:rPr>
        <w:t>2,9</w:t>
      </w:r>
      <w:r w:rsidRPr="0011115D">
        <w:rPr>
          <w:rFonts w:ascii="Arial" w:eastAsia="Times New Roman" w:hAnsi="Arial" w:cs="Arial"/>
          <w:sz w:val="22"/>
          <w:lang w:eastAsia="de-DE"/>
        </w:rPr>
        <w:t xml:space="preserve"> %. </w:t>
      </w:r>
      <w:r>
        <w:rPr>
          <w:rFonts w:ascii="Arial" w:eastAsia="Times New Roman" w:hAnsi="Arial" w:cs="Arial"/>
          <w:sz w:val="22"/>
          <w:lang w:eastAsia="de-DE"/>
        </w:rPr>
        <w:t xml:space="preserve">Unter Berücksichtigung der Preisveränderungen ergab sich ein Wirtschaftswachstum von 0,6 %. </w:t>
      </w:r>
      <w:r w:rsidRPr="0011115D">
        <w:rPr>
          <w:rFonts w:ascii="Arial" w:eastAsia="Times New Roman" w:hAnsi="Arial" w:cs="Arial"/>
          <w:sz w:val="22"/>
          <w:lang w:eastAsia="de-DE"/>
        </w:rPr>
        <w:t xml:space="preserve">Wachstumsimpulse erhielt die Thüringer Wirtschaft vor allem aus dem </w:t>
      </w:r>
      <w:r>
        <w:rPr>
          <w:rFonts w:ascii="Arial" w:eastAsia="Times New Roman" w:hAnsi="Arial" w:cs="Arial"/>
          <w:sz w:val="22"/>
          <w:lang w:eastAsia="de-DE"/>
        </w:rPr>
        <w:t>Baug</w:t>
      </w:r>
      <w:r>
        <w:rPr>
          <w:rFonts w:ascii="Arial" w:eastAsia="Times New Roman" w:hAnsi="Arial" w:cs="Arial"/>
          <w:sz w:val="22"/>
          <w:lang w:eastAsia="de-DE"/>
        </w:rPr>
        <w:t>e</w:t>
      </w:r>
      <w:r>
        <w:rPr>
          <w:rFonts w:ascii="Arial" w:eastAsia="Times New Roman" w:hAnsi="Arial" w:cs="Arial"/>
          <w:sz w:val="22"/>
          <w:lang w:eastAsia="de-DE"/>
        </w:rPr>
        <w:t xml:space="preserve">werbe, </w:t>
      </w:r>
      <w:r w:rsidRPr="0011115D">
        <w:rPr>
          <w:rFonts w:ascii="Arial" w:eastAsia="Times New Roman" w:hAnsi="Arial" w:cs="Arial"/>
          <w:sz w:val="22"/>
          <w:lang w:eastAsia="de-DE"/>
        </w:rPr>
        <w:t>dem Gesundheits-</w:t>
      </w:r>
      <w:r>
        <w:rPr>
          <w:rFonts w:ascii="Arial" w:eastAsia="Times New Roman" w:hAnsi="Arial" w:cs="Arial"/>
          <w:sz w:val="22"/>
          <w:lang w:eastAsia="de-DE"/>
        </w:rPr>
        <w:t xml:space="preserve"> </w:t>
      </w:r>
      <w:r w:rsidRPr="0011115D">
        <w:rPr>
          <w:rFonts w:ascii="Arial" w:eastAsia="Times New Roman" w:hAnsi="Arial" w:cs="Arial"/>
          <w:sz w:val="22"/>
          <w:lang w:eastAsia="de-DE"/>
        </w:rPr>
        <w:t>und Sozialwesen und dem</w:t>
      </w:r>
      <w:r>
        <w:rPr>
          <w:rFonts w:ascii="Arial" w:eastAsia="Times New Roman" w:hAnsi="Arial" w:cs="Arial"/>
          <w:sz w:val="22"/>
          <w:lang w:eastAsia="de-DE"/>
        </w:rPr>
        <w:t xml:space="preserve"> Handel.</w:t>
      </w:r>
    </w:p>
    <w:p w:rsidR="00BB60C0" w:rsidRPr="0011115D" w:rsidRDefault="00BB60C0" w:rsidP="00BB60C0">
      <w:pPr>
        <w:jc w:val="both"/>
        <w:rPr>
          <w:rFonts w:ascii="Arial" w:eastAsia="Times New Roman" w:hAnsi="Arial" w:cs="Arial"/>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Entwicklung der Verbraucherpreise</w:t>
      </w:r>
    </w:p>
    <w:p w:rsidR="00BB60C0" w:rsidRPr="0037675F" w:rsidRDefault="00BB60C0" w:rsidP="00BB60C0">
      <w:pPr>
        <w:jc w:val="both"/>
        <w:rPr>
          <w:rFonts w:ascii="Arial" w:eastAsia="Times New Roman" w:hAnsi="Arial" w:cs="Arial"/>
          <w:sz w:val="22"/>
          <w:lang w:eastAsia="de-DE"/>
        </w:rPr>
      </w:pPr>
    </w:p>
    <w:p w:rsidR="00BB60C0" w:rsidRDefault="00BB60C0" w:rsidP="00816421">
      <w:pPr>
        <w:pStyle w:val="StandardWeb"/>
        <w:spacing w:before="0" w:beforeAutospacing="0" w:after="0" w:afterAutospacing="0"/>
        <w:jc w:val="both"/>
        <w:rPr>
          <w:rFonts w:ascii="Arial" w:hAnsi="Arial" w:cs="Arial"/>
          <w:sz w:val="22"/>
          <w:szCs w:val="22"/>
        </w:rPr>
      </w:pPr>
      <w:r w:rsidRPr="0037675F">
        <w:rPr>
          <w:rFonts w:ascii="Arial" w:hAnsi="Arial" w:cs="Arial"/>
          <w:sz w:val="22"/>
          <w:szCs w:val="22"/>
        </w:rPr>
        <w:t>Die Verbraucherpreise in Deutschland erhöhten sich im Jahresdurchschnitt 2019 um 1,4 % gegenüber 2018. Wie das Statistische Bundesamt (Destatis) weiter mitteilt, lag die Teu</w:t>
      </w:r>
      <w:r w:rsidRPr="0037675F">
        <w:rPr>
          <w:rFonts w:ascii="Arial" w:hAnsi="Arial" w:cs="Arial"/>
          <w:sz w:val="22"/>
          <w:szCs w:val="22"/>
        </w:rPr>
        <w:t>e</w:t>
      </w:r>
      <w:r w:rsidRPr="0037675F">
        <w:rPr>
          <w:rFonts w:ascii="Arial" w:hAnsi="Arial" w:cs="Arial"/>
          <w:sz w:val="22"/>
          <w:szCs w:val="22"/>
        </w:rPr>
        <w:t>rungsrate 2019 damit niedriger als im Vorjahr (2018: +</w:t>
      </w:r>
      <w:r>
        <w:rPr>
          <w:rFonts w:ascii="Arial" w:hAnsi="Arial" w:cs="Arial"/>
          <w:sz w:val="22"/>
          <w:szCs w:val="22"/>
        </w:rPr>
        <w:t xml:space="preserve"> </w:t>
      </w:r>
      <w:r w:rsidRPr="0037675F">
        <w:rPr>
          <w:rFonts w:ascii="Arial" w:hAnsi="Arial" w:cs="Arial"/>
          <w:sz w:val="22"/>
          <w:szCs w:val="22"/>
        </w:rPr>
        <w:t>1,8 %). Im Dezember 2019 war die Inflationsrate − gemessen am Verbraucherpreisindex – höher als in den Vormonaten und erreichte einen Wert von 1,5 %. Im Vergleich zu den Waren erhöhten sich die Preise für Dienstleistungen insgesamt im Jahresdurchschnitt 2019 gegenüber 2018 um 1,5 % etwas stärker, darunter die Nettokaltmieten um 1,4 %. In 2019 lagen zudem die Preise für Diens</w:t>
      </w:r>
      <w:r w:rsidRPr="0037675F">
        <w:rPr>
          <w:rFonts w:ascii="Arial" w:hAnsi="Arial" w:cs="Arial"/>
          <w:sz w:val="22"/>
          <w:szCs w:val="22"/>
        </w:rPr>
        <w:t>t</w:t>
      </w:r>
      <w:r w:rsidRPr="0037675F">
        <w:rPr>
          <w:rFonts w:ascii="Arial" w:hAnsi="Arial" w:cs="Arial"/>
          <w:sz w:val="22"/>
          <w:szCs w:val="22"/>
        </w:rPr>
        <w:t>leistungen sozialer Einrichtungen (+ 5,0 %) sowie für die Wartung und Reparatur von Fah</w:t>
      </w:r>
      <w:r w:rsidRPr="0037675F">
        <w:rPr>
          <w:rFonts w:ascii="Arial" w:hAnsi="Arial" w:cs="Arial"/>
          <w:sz w:val="22"/>
          <w:szCs w:val="22"/>
        </w:rPr>
        <w:t>r</w:t>
      </w:r>
      <w:r w:rsidRPr="0037675F">
        <w:rPr>
          <w:rFonts w:ascii="Arial" w:hAnsi="Arial" w:cs="Arial"/>
          <w:sz w:val="22"/>
          <w:szCs w:val="22"/>
        </w:rPr>
        <w:t>zeugen (+ 4,5 %) deutlich höher als 2018.</w:t>
      </w:r>
      <w:r w:rsidR="00816421">
        <w:rPr>
          <w:rFonts w:ascii="Arial" w:hAnsi="Arial" w:cs="Arial"/>
          <w:sz w:val="22"/>
          <w:szCs w:val="22"/>
        </w:rPr>
        <w:t xml:space="preserve"> </w:t>
      </w:r>
    </w:p>
    <w:p w:rsidR="00BE7E79" w:rsidRDefault="00BE7E79" w:rsidP="00BB60C0">
      <w:pPr>
        <w:jc w:val="both"/>
        <w:rPr>
          <w:rFonts w:ascii="Arial" w:eastAsia="Times New Roman" w:hAnsi="Arial" w:cs="Arial"/>
          <w:b/>
          <w:i/>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Konjunkturaussichten</w:t>
      </w:r>
    </w:p>
    <w:p w:rsidR="00BB60C0" w:rsidRDefault="00BB60C0" w:rsidP="00BB60C0">
      <w:pPr>
        <w:jc w:val="both"/>
        <w:rPr>
          <w:rFonts w:ascii="Arial" w:eastAsia="Times New Roman" w:hAnsi="Arial" w:cs="Arial"/>
          <w:sz w:val="22"/>
          <w:lang w:eastAsia="de-DE"/>
        </w:rPr>
      </w:pPr>
    </w:p>
    <w:p w:rsidR="00BE7E79" w:rsidRDefault="00BE7E79" w:rsidP="00BB60C0">
      <w:pPr>
        <w:jc w:val="both"/>
        <w:rPr>
          <w:rFonts w:ascii="Arial" w:eastAsia="Times New Roman" w:hAnsi="Arial" w:cs="Arial"/>
          <w:sz w:val="22"/>
          <w:lang w:eastAsia="de-DE"/>
        </w:rPr>
      </w:pPr>
      <w:r>
        <w:rPr>
          <w:rFonts w:ascii="Arial" w:eastAsia="Times New Roman" w:hAnsi="Arial" w:cs="Arial"/>
          <w:sz w:val="22"/>
          <w:lang w:eastAsia="de-DE"/>
        </w:rPr>
        <w:t>Rechneten Experten im Januar 2020 noch mit einem Wirtschaftswachstum von 1,1 % in 2020 und 1,4 % in 2021, so bricht die Konjunktur seit März 2020 in Folge der Corona-Pandemie ein. Wirtschaftliche Aktivitäten sind durch die geltenden Kontaktverbote und g</w:t>
      </w:r>
      <w:r>
        <w:rPr>
          <w:rFonts w:ascii="Arial" w:eastAsia="Times New Roman" w:hAnsi="Arial" w:cs="Arial"/>
          <w:sz w:val="22"/>
          <w:lang w:eastAsia="de-DE"/>
        </w:rPr>
        <w:t>e</w:t>
      </w:r>
      <w:r>
        <w:rPr>
          <w:rFonts w:ascii="Arial" w:eastAsia="Times New Roman" w:hAnsi="Arial" w:cs="Arial"/>
          <w:sz w:val="22"/>
          <w:lang w:eastAsia="de-DE"/>
        </w:rPr>
        <w:t xml:space="preserve">störte Lieferketten stark eingeschränkt. Unterstellt, dass die Liquiditätshilfen und Zuschüsse sowie das erweiterte Kurzarbeitergeld eine Insolvenzwelle verhindern, rechnen die Experten der Projektgruppe Gemeinschaftsdiagnose mit einem Rückgang des BIP im </w:t>
      </w:r>
      <w:r w:rsidR="00A82506">
        <w:rPr>
          <w:rFonts w:ascii="Arial" w:eastAsia="Times New Roman" w:hAnsi="Arial" w:cs="Arial"/>
          <w:sz w:val="22"/>
          <w:lang w:eastAsia="de-DE"/>
        </w:rPr>
        <w:t>I</w:t>
      </w:r>
      <w:r>
        <w:rPr>
          <w:rFonts w:ascii="Arial" w:eastAsia="Times New Roman" w:hAnsi="Arial" w:cs="Arial"/>
          <w:sz w:val="22"/>
          <w:lang w:eastAsia="de-DE"/>
        </w:rPr>
        <w:t xml:space="preserve">. Quartal 2020 </w:t>
      </w:r>
      <w:r>
        <w:rPr>
          <w:rFonts w:ascii="Arial" w:eastAsia="Times New Roman" w:hAnsi="Arial" w:cs="Arial"/>
          <w:sz w:val="22"/>
          <w:lang w:eastAsia="de-DE"/>
        </w:rPr>
        <w:lastRenderedPageBreak/>
        <w:t xml:space="preserve">um 1,9 %. Für das </w:t>
      </w:r>
      <w:r w:rsidR="00A82506">
        <w:rPr>
          <w:rFonts w:ascii="Arial" w:eastAsia="Times New Roman" w:hAnsi="Arial" w:cs="Arial"/>
          <w:sz w:val="22"/>
          <w:lang w:eastAsia="de-DE"/>
        </w:rPr>
        <w:t>II</w:t>
      </w:r>
      <w:r>
        <w:rPr>
          <w:rFonts w:ascii="Arial" w:eastAsia="Times New Roman" w:hAnsi="Arial" w:cs="Arial"/>
          <w:sz w:val="22"/>
          <w:lang w:eastAsia="de-DE"/>
        </w:rPr>
        <w:t>. Quartal 2020 wird ein Rückgang von 9,8 %</w:t>
      </w:r>
      <w:r w:rsidR="008C2976">
        <w:rPr>
          <w:rFonts w:ascii="Arial" w:eastAsia="Times New Roman" w:hAnsi="Arial" w:cs="Arial"/>
          <w:sz w:val="22"/>
          <w:lang w:eastAsia="de-DE"/>
        </w:rPr>
        <w:t xml:space="preserve">, dies ist doppelt so viel wie im </w:t>
      </w:r>
      <w:r w:rsidR="00A82506">
        <w:rPr>
          <w:rFonts w:ascii="Arial" w:eastAsia="Times New Roman" w:hAnsi="Arial" w:cs="Arial"/>
          <w:sz w:val="22"/>
          <w:lang w:eastAsia="de-DE"/>
        </w:rPr>
        <w:t>I</w:t>
      </w:r>
      <w:r w:rsidR="008C2976">
        <w:rPr>
          <w:rFonts w:ascii="Arial" w:eastAsia="Times New Roman" w:hAnsi="Arial" w:cs="Arial"/>
          <w:sz w:val="22"/>
          <w:lang w:eastAsia="de-DE"/>
        </w:rPr>
        <w:t>. Quartal 2009 während der Finanzkrise, erwartet. Für das Jahr 2020 wird sich das BIP, vorausgesetzt es kommt zu keiner Verschärfung der Corona-Krise, um 4,2 % verri</w:t>
      </w:r>
      <w:r w:rsidR="008C2976">
        <w:rPr>
          <w:rFonts w:ascii="Arial" w:eastAsia="Times New Roman" w:hAnsi="Arial" w:cs="Arial"/>
          <w:sz w:val="22"/>
          <w:lang w:eastAsia="de-DE"/>
        </w:rPr>
        <w:t>n</w:t>
      </w:r>
      <w:r w:rsidR="008C2976">
        <w:rPr>
          <w:rFonts w:ascii="Arial" w:eastAsia="Times New Roman" w:hAnsi="Arial" w:cs="Arial"/>
          <w:sz w:val="22"/>
          <w:lang w:eastAsia="de-DE"/>
        </w:rPr>
        <w:t>gern. Nach 2009, als das BIP um 5,8 % sank, ist dies der größte Einbruch nach der Weltwir</w:t>
      </w:r>
      <w:r w:rsidR="008C2976">
        <w:rPr>
          <w:rFonts w:ascii="Arial" w:eastAsia="Times New Roman" w:hAnsi="Arial" w:cs="Arial"/>
          <w:sz w:val="22"/>
          <w:lang w:eastAsia="de-DE"/>
        </w:rPr>
        <w:t>t</w:t>
      </w:r>
      <w:r w:rsidR="008C2976">
        <w:rPr>
          <w:rFonts w:ascii="Arial" w:eastAsia="Times New Roman" w:hAnsi="Arial" w:cs="Arial"/>
          <w:sz w:val="22"/>
          <w:lang w:eastAsia="de-DE"/>
        </w:rPr>
        <w:t>schaftskrise 1929-1932.</w:t>
      </w:r>
    </w:p>
    <w:p w:rsidR="008C2976" w:rsidRDefault="008C2976" w:rsidP="00BB60C0">
      <w:pPr>
        <w:jc w:val="both"/>
        <w:rPr>
          <w:rFonts w:ascii="Arial" w:eastAsia="Times New Roman" w:hAnsi="Arial" w:cs="Arial"/>
          <w:sz w:val="22"/>
          <w:lang w:eastAsia="de-DE"/>
        </w:rPr>
      </w:pPr>
    </w:p>
    <w:p w:rsidR="008C2976" w:rsidRDefault="008C2976" w:rsidP="00BB60C0">
      <w:pPr>
        <w:jc w:val="both"/>
        <w:rPr>
          <w:rFonts w:ascii="Arial" w:eastAsia="Times New Roman" w:hAnsi="Arial" w:cs="Arial"/>
          <w:sz w:val="22"/>
          <w:lang w:eastAsia="de-DE"/>
        </w:rPr>
      </w:pPr>
      <w:r>
        <w:rPr>
          <w:rFonts w:ascii="Arial" w:eastAsia="Times New Roman" w:hAnsi="Arial" w:cs="Arial"/>
          <w:sz w:val="22"/>
          <w:lang w:eastAsia="de-DE"/>
        </w:rPr>
        <w:t>Ein Großteil der Ausfälle wird wahrscheinlich bald nachgeholt werden, sodass für 2021 mit einem Wachstum von ca. 5,8 % gerechnet wird. Die günstige fiskalische Ausgangssituation des Staates ermöglichte bisher die Abfederung der Folgen der Krise für Unternehmen und private Haushalte. Risiken sind, dass die Krise länger dauert, ein erneuter Anstieg der Infe</w:t>
      </w:r>
      <w:r>
        <w:rPr>
          <w:rFonts w:ascii="Arial" w:eastAsia="Times New Roman" w:hAnsi="Arial" w:cs="Arial"/>
          <w:sz w:val="22"/>
          <w:lang w:eastAsia="de-DE"/>
        </w:rPr>
        <w:t>k</w:t>
      </w:r>
      <w:r>
        <w:rPr>
          <w:rFonts w:ascii="Arial" w:eastAsia="Times New Roman" w:hAnsi="Arial" w:cs="Arial"/>
          <w:sz w:val="22"/>
          <w:lang w:eastAsia="de-DE"/>
        </w:rPr>
        <w:t>tionszahlen erfolgt und das Hochfahren der Wirtschaft langsamer erfolgt.</w:t>
      </w:r>
    </w:p>
    <w:p w:rsidR="00BF16B2" w:rsidRDefault="00BF16B2" w:rsidP="00BB60C0">
      <w:pPr>
        <w:jc w:val="both"/>
        <w:rPr>
          <w:rFonts w:ascii="Arial" w:eastAsia="Times New Roman" w:hAnsi="Arial" w:cs="Arial"/>
          <w:sz w:val="22"/>
          <w:lang w:eastAsia="de-DE"/>
        </w:rPr>
      </w:pPr>
    </w:p>
    <w:p w:rsidR="00BF16B2" w:rsidRDefault="00BF16B2" w:rsidP="00BB60C0">
      <w:pPr>
        <w:jc w:val="both"/>
        <w:rPr>
          <w:rFonts w:ascii="Arial" w:eastAsia="Times New Roman" w:hAnsi="Arial" w:cs="Arial"/>
          <w:sz w:val="22"/>
          <w:lang w:eastAsia="de-DE"/>
        </w:rPr>
      </w:pPr>
      <w:r>
        <w:rPr>
          <w:rFonts w:ascii="Arial" w:eastAsia="Times New Roman" w:hAnsi="Arial" w:cs="Arial"/>
          <w:sz w:val="22"/>
          <w:lang w:eastAsia="de-DE"/>
        </w:rPr>
        <w:t>Der private Konsum, in früheren Krisen ein stabilisierender Faktor, ist sogar stärker als die gesamtgesellschaftliche Produktion um 20 % von Mitte März bis Mitte April eingebrochen. Geschäftsschließungen und Beschränkungen der Mobilität ließen die Ausgaben für Freizeit, Kultur, Reisen, Gaststätten, Friseur u. a. kurzfristig gegen Null gehen. Einige Ausgaben, wie für das Wohnen, Wasser, Energie, Finanz- und Versicherungsleistungen, wurden kaum b</w:t>
      </w:r>
      <w:r>
        <w:rPr>
          <w:rFonts w:ascii="Arial" w:eastAsia="Times New Roman" w:hAnsi="Arial" w:cs="Arial"/>
          <w:sz w:val="22"/>
          <w:lang w:eastAsia="de-DE"/>
        </w:rPr>
        <w:t>e</w:t>
      </w:r>
      <w:r>
        <w:rPr>
          <w:rFonts w:ascii="Arial" w:eastAsia="Times New Roman" w:hAnsi="Arial" w:cs="Arial"/>
          <w:sz w:val="22"/>
          <w:lang w:eastAsia="de-DE"/>
        </w:rPr>
        <w:t>einflusst. Nur langsam wird die Anpassung der Ausgaben an ein normales Konsumverhalten voranschreiten, sodass im Jahresergebnis 2020 ein Rückgang des privaten Konsums von 5,7 % erwartet wird.</w:t>
      </w:r>
    </w:p>
    <w:p w:rsidR="00BF16B2" w:rsidRDefault="00BF16B2" w:rsidP="00BB60C0">
      <w:pPr>
        <w:jc w:val="both"/>
        <w:rPr>
          <w:rFonts w:ascii="Arial" w:eastAsia="Times New Roman" w:hAnsi="Arial" w:cs="Arial"/>
          <w:sz w:val="22"/>
          <w:lang w:eastAsia="de-DE"/>
        </w:rPr>
      </w:pPr>
    </w:p>
    <w:p w:rsidR="00BE7E79" w:rsidRDefault="00BE7E79" w:rsidP="00BB60C0">
      <w:pPr>
        <w:jc w:val="both"/>
        <w:rPr>
          <w:rFonts w:ascii="Arial" w:eastAsia="Times New Roman" w:hAnsi="Arial" w:cs="Arial"/>
          <w:sz w:val="22"/>
          <w:lang w:eastAsia="de-DE"/>
        </w:rPr>
      </w:pPr>
      <w:r>
        <w:rPr>
          <w:rFonts w:ascii="Arial" w:eastAsia="Times New Roman" w:hAnsi="Arial" w:cs="Arial"/>
          <w:sz w:val="22"/>
          <w:lang w:eastAsia="de-DE"/>
        </w:rPr>
        <w:t xml:space="preserve">Der staatlich verordnete </w:t>
      </w:r>
      <w:proofErr w:type="spellStart"/>
      <w:r>
        <w:rPr>
          <w:rFonts w:ascii="Arial" w:eastAsia="Times New Roman" w:hAnsi="Arial" w:cs="Arial"/>
          <w:sz w:val="22"/>
          <w:lang w:eastAsia="de-DE"/>
        </w:rPr>
        <w:t>Shutdown</w:t>
      </w:r>
      <w:proofErr w:type="spellEnd"/>
      <w:r>
        <w:rPr>
          <w:rFonts w:ascii="Arial" w:eastAsia="Times New Roman" w:hAnsi="Arial" w:cs="Arial"/>
          <w:sz w:val="22"/>
          <w:lang w:eastAsia="de-DE"/>
        </w:rPr>
        <w:t xml:space="preserve"> trifft die Wirtschaftsbereiche </w:t>
      </w:r>
      <w:r w:rsidR="009D1AE6">
        <w:rPr>
          <w:rFonts w:ascii="Arial" w:eastAsia="Times New Roman" w:hAnsi="Arial" w:cs="Arial"/>
          <w:sz w:val="22"/>
          <w:lang w:eastAsia="de-DE"/>
        </w:rPr>
        <w:t xml:space="preserve">allerding </w:t>
      </w:r>
      <w:r>
        <w:rPr>
          <w:rFonts w:ascii="Arial" w:eastAsia="Times New Roman" w:hAnsi="Arial" w:cs="Arial"/>
          <w:sz w:val="22"/>
          <w:lang w:eastAsia="de-DE"/>
        </w:rPr>
        <w:t>unterschiedlich.</w:t>
      </w:r>
      <w:r w:rsidR="009D1AE6">
        <w:rPr>
          <w:rFonts w:ascii="Arial" w:eastAsia="Times New Roman" w:hAnsi="Arial" w:cs="Arial"/>
          <w:sz w:val="22"/>
          <w:lang w:eastAsia="de-DE"/>
        </w:rPr>
        <w:t xml:space="preserve"> Die Bauwirtschaft wird zunächst relativ gering betroffen sein. Im weiteren Verlauf der Krise we</w:t>
      </w:r>
      <w:r w:rsidR="009D1AE6">
        <w:rPr>
          <w:rFonts w:ascii="Arial" w:eastAsia="Times New Roman" w:hAnsi="Arial" w:cs="Arial"/>
          <w:sz w:val="22"/>
          <w:lang w:eastAsia="de-DE"/>
        </w:rPr>
        <w:t>r</w:t>
      </w:r>
      <w:r w:rsidR="009D1AE6">
        <w:rPr>
          <w:rFonts w:ascii="Arial" w:eastAsia="Times New Roman" w:hAnsi="Arial" w:cs="Arial"/>
          <w:sz w:val="22"/>
          <w:lang w:eastAsia="de-DE"/>
        </w:rPr>
        <w:t>den Bauprojekte zurückgestellt oder nicht beauftragt werden. Auch ist mit einem Arbeitskrä</w:t>
      </w:r>
      <w:r w:rsidR="009D1AE6">
        <w:rPr>
          <w:rFonts w:ascii="Arial" w:eastAsia="Times New Roman" w:hAnsi="Arial" w:cs="Arial"/>
          <w:sz w:val="22"/>
          <w:lang w:eastAsia="de-DE"/>
        </w:rPr>
        <w:t>f</w:t>
      </w:r>
      <w:r w:rsidR="009D1AE6">
        <w:rPr>
          <w:rFonts w:ascii="Arial" w:eastAsia="Times New Roman" w:hAnsi="Arial" w:cs="Arial"/>
          <w:sz w:val="22"/>
          <w:lang w:eastAsia="de-DE"/>
        </w:rPr>
        <w:t>te- und Materialmangel zu rechnen. Im weiteren Verlauf ist eine Erholung absehbar, da die Nachfrage nach Wohnraum und Büroflächen ungebrochen ist.</w:t>
      </w:r>
    </w:p>
    <w:p w:rsidR="00BE7E79" w:rsidRDefault="00BE7E79" w:rsidP="00BB60C0">
      <w:pPr>
        <w:jc w:val="both"/>
        <w:rPr>
          <w:rFonts w:ascii="Arial" w:eastAsia="Times New Roman" w:hAnsi="Arial" w:cs="Arial"/>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Demografische Entwicklung</w:t>
      </w:r>
    </w:p>
    <w:p w:rsidR="00BB60C0" w:rsidRPr="00E150C7" w:rsidRDefault="00BB60C0" w:rsidP="00BB60C0">
      <w:pPr>
        <w:jc w:val="both"/>
        <w:rPr>
          <w:rFonts w:ascii="Arial" w:eastAsia="Times New Roman" w:hAnsi="Arial" w:cs="Arial"/>
          <w:sz w:val="22"/>
          <w:lang w:eastAsia="de-DE"/>
        </w:rPr>
      </w:pPr>
    </w:p>
    <w:p w:rsidR="00BB60C0" w:rsidRPr="00E150C7" w:rsidRDefault="00BB60C0" w:rsidP="00BB60C0">
      <w:pPr>
        <w:jc w:val="both"/>
        <w:rPr>
          <w:rFonts w:ascii="Arial" w:hAnsi="Arial" w:cs="Arial"/>
          <w:sz w:val="22"/>
        </w:rPr>
      </w:pPr>
      <w:r w:rsidRPr="00E150C7">
        <w:rPr>
          <w:rFonts w:ascii="Arial" w:hAnsi="Arial" w:cs="Arial"/>
          <w:sz w:val="22"/>
        </w:rPr>
        <w:t>Ende 2019 haben in Deutschland nach einer Schätzung des Statistischen Bundesamtes rund 200.000 Menschen mehr gelebt als 2018. Mit 83,2 Millionen Menschen erreichte die Einwohnerzahl einen neuen Höchststand. Das Bevölkerungswachstum ist ausschließlich auf die Nettozuwanderung zurückzuführen. Ohne Wanderungsgewinne würde die Bevölkerung seit 1972 schrumpfen, da jedes Jahr mehr Menschen sterben als geboren werden.</w:t>
      </w:r>
    </w:p>
    <w:p w:rsidR="00BB60C0" w:rsidRPr="00472E18" w:rsidRDefault="00BB60C0" w:rsidP="00BB60C0">
      <w:pPr>
        <w:jc w:val="both"/>
        <w:rPr>
          <w:rFonts w:ascii="Arial" w:hAnsi="Arial" w:cs="Arial"/>
          <w:sz w:val="22"/>
        </w:rPr>
      </w:pPr>
    </w:p>
    <w:p w:rsidR="00BB60C0" w:rsidRPr="00CD1B4D" w:rsidRDefault="00BB60C0" w:rsidP="00BB60C0">
      <w:pPr>
        <w:jc w:val="both"/>
        <w:rPr>
          <w:rFonts w:ascii="Arial" w:eastAsia="Times New Roman" w:hAnsi="Arial" w:cs="Arial"/>
          <w:sz w:val="22"/>
          <w:lang w:eastAsia="de-DE"/>
        </w:rPr>
      </w:pPr>
      <w:r w:rsidRPr="00472E18">
        <w:rPr>
          <w:rFonts w:ascii="Arial" w:eastAsia="Times New Roman" w:hAnsi="Arial" w:cs="Arial"/>
          <w:sz w:val="22"/>
          <w:lang w:eastAsia="de-DE"/>
        </w:rPr>
        <w:t>Im Gegensatz zur gesamtdeutschen Entwicklung verringerte sich die Thüringer Bevölkerung auch im Jahr 2019. Am 30.09.2019 hatte der Freistaat 2.134.393 Einwohner. Damit verri</w:t>
      </w:r>
      <w:r w:rsidRPr="00472E18">
        <w:rPr>
          <w:rFonts w:ascii="Arial" w:eastAsia="Times New Roman" w:hAnsi="Arial" w:cs="Arial"/>
          <w:sz w:val="22"/>
          <w:lang w:eastAsia="de-DE"/>
        </w:rPr>
        <w:t>n</w:t>
      </w:r>
      <w:r w:rsidRPr="00472E18">
        <w:rPr>
          <w:rFonts w:ascii="Arial" w:eastAsia="Times New Roman" w:hAnsi="Arial" w:cs="Arial"/>
          <w:sz w:val="22"/>
          <w:lang w:eastAsia="de-DE"/>
        </w:rPr>
        <w:t>gerte sich nach vorläufigen Ergebnissen des Thüringer Landesamtes für Statistik die Bevö</w:t>
      </w:r>
      <w:r w:rsidRPr="00472E18">
        <w:rPr>
          <w:rFonts w:ascii="Arial" w:eastAsia="Times New Roman" w:hAnsi="Arial" w:cs="Arial"/>
          <w:sz w:val="22"/>
          <w:lang w:eastAsia="de-DE"/>
        </w:rPr>
        <w:t>l</w:t>
      </w:r>
      <w:r w:rsidRPr="00472E18">
        <w:rPr>
          <w:rFonts w:ascii="Arial" w:eastAsia="Times New Roman" w:hAnsi="Arial" w:cs="Arial"/>
          <w:sz w:val="22"/>
          <w:lang w:eastAsia="de-DE"/>
        </w:rPr>
        <w:t>kerungszahl in den ersten neun Monaten des Jahres 2019 um 8.750 Personen bzw. 0,41 %. Der Einwohnerverlust resultierte aus einem Sterbefallüberschuss, welcher durch einen leicht positiven Wanderungssaldo lediglich abgemildert wurde.</w:t>
      </w:r>
      <w:r>
        <w:rPr>
          <w:rFonts w:ascii="Arial" w:eastAsia="Times New Roman" w:hAnsi="Arial" w:cs="Arial"/>
          <w:sz w:val="22"/>
          <w:lang w:eastAsia="de-DE"/>
        </w:rPr>
        <w:t xml:space="preserve"> </w:t>
      </w:r>
      <w:r w:rsidRPr="00CD1B4D">
        <w:rPr>
          <w:rFonts w:ascii="Arial" w:eastAsia="Times New Roman" w:hAnsi="Arial" w:cs="Arial"/>
          <w:sz w:val="22"/>
          <w:lang w:eastAsia="de-DE"/>
        </w:rPr>
        <w:t>Einen Einwohnerzuwachs konnte lediglich das Weimarer Land (+ 0,32 %) verbuchen. Die kreisfreien Städte verloren 0,49 %, die Landkreise 0,38 % Bevölkerung.</w:t>
      </w:r>
      <w:r>
        <w:rPr>
          <w:rFonts w:ascii="Arial" w:eastAsia="Times New Roman" w:hAnsi="Arial" w:cs="Arial"/>
          <w:i/>
          <w:sz w:val="22"/>
          <w:lang w:eastAsia="de-DE"/>
        </w:rPr>
        <w:t xml:space="preserve"> </w:t>
      </w:r>
    </w:p>
    <w:p w:rsidR="00BB60C0" w:rsidRPr="00184F6F" w:rsidRDefault="00BB60C0" w:rsidP="00BB60C0">
      <w:pPr>
        <w:jc w:val="both"/>
        <w:rPr>
          <w:rFonts w:ascii="Arial" w:eastAsia="Times New Roman" w:hAnsi="Arial" w:cs="Arial"/>
          <w:sz w:val="22"/>
          <w:lang w:eastAsia="de-DE"/>
        </w:rPr>
      </w:pPr>
    </w:p>
    <w:p w:rsidR="00BB60C0" w:rsidRPr="00184F6F" w:rsidRDefault="00BB60C0" w:rsidP="00BB60C0">
      <w:pPr>
        <w:jc w:val="both"/>
        <w:rPr>
          <w:rFonts w:ascii="Arial" w:eastAsia="Times New Roman" w:hAnsi="Arial" w:cs="Arial"/>
          <w:sz w:val="22"/>
          <w:lang w:eastAsia="de-DE"/>
        </w:rPr>
      </w:pPr>
      <w:r w:rsidRPr="00184F6F">
        <w:rPr>
          <w:rFonts w:ascii="Arial" w:eastAsia="Times New Roman" w:hAnsi="Arial" w:cs="Arial"/>
          <w:sz w:val="22"/>
          <w:lang w:eastAsia="de-DE"/>
        </w:rPr>
        <w:t xml:space="preserve">Im Juli 2019 veröffentlichte das Thüringer Landesamt für Statistik die Ergebnisse der 2. </w:t>
      </w:r>
      <w:proofErr w:type="spellStart"/>
      <w:r w:rsidRPr="00184F6F">
        <w:rPr>
          <w:rFonts w:ascii="Arial" w:eastAsia="Times New Roman" w:hAnsi="Arial" w:cs="Arial"/>
          <w:sz w:val="22"/>
          <w:lang w:eastAsia="de-DE"/>
        </w:rPr>
        <w:t>reg</w:t>
      </w:r>
      <w:r w:rsidRPr="00184F6F">
        <w:rPr>
          <w:rFonts w:ascii="Arial" w:eastAsia="Times New Roman" w:hAnsi="Arial" w:cs="Arial"/>
          <w:sz w:val="22"/>
          <w:lang w:eastAsia="de-DE"/>
        </w:rPr>
        <w:t>i</w:t>
      </w:r>
      <w:r w:rsidRPr="00184F6F">
        <w:rPr>
          <w:rFonts w:ascii="Arial" w:eastAsia="Times New Roman" w:hAnsi="Arial" w:cs="Arial"/>
          <w:sz w:val="22"/>
          <w:lang w:eastAsia="de-DE"/>
        </w:rPr>
        <w:t>onalisierten</w:t>
      </w:r>
      <w:proofErr w:type="spellEnd"/>
      <w:r w:rsidRPr="00184F6F">
        <w:rPr>
          <w:rFonts w:ascii="Arial" w:eastAsia="Times New Roman" w:hAnsi="Arial" w:cs="Arial"/>
          <w:sz w:val="22"/>
          <w:lang w:eastAsia="de-DE"/>
        </w:rPr>
        <w:t xml:space="preserve"> Bevölkerungsvorausberechnung. Danach wird sich die Thüringer Bevölkerung bis zum Jahr 2040 weiter stark </w:t>
      </w:r>
      <w:r w:rsidR="006E7BB6">
        <w:rPr>
          <w:rFonts w:ascii="Arial" w:eastAsia="Times New Roman" w:hAnsi="Arial" w:cs="Arial"/>
          <w:sz w:val="22"/>
          <w:lang w:eastAsia="de-DE"/>
        </w:rPr>
        <w:t>verringern</w:t>
      </w:r>
      <w:r w:rsidRPr="00184F6F">
        <w:rPr>
          <w:rFonts w:ascii="Arial" w:eastAsia="Times New Roman" w:hAnsi="Arial" w:cs="Arial"/>
          <w:sz w:val="22"/>
          <w:lang w:eastAsia="de-DE"/>
        </w:rPr>
        <w:t xml:space="preserve">. </w:t>
      </w:r>
      <w:r w:rsidRPr="00184F6F">
        <w:rPr>
          <w:rFonts w:ascii="Arial" w:hAnsi="Arial" w:cs="Arial"/>
          <w:sz w:val="22"/>
        </w:rPr>
        <w:t>Lebten Ende 2018</w:t>
      </w:r>
      <w:r>
        <w:rPr>
          <w:rFonts w:ascii="Arial" w:hAnsi="Arial" w:cs="Arial"/>
          <w:sz w:val="22"/>
        </w:rPr>
        <w:t xml:space="preserve"> </w:t>
      </w:r>
      <w:r w:rsidRPr="00184F6F">
        <w:rPr>
          <w:rFonts w:ascii="Arial" w:hAnsi="Arial" w:cs="Arial"/>
          <w:sz w:val="22"/>
        </w:rPr>
        <w:t>rund 2</w:t>
      </w:r>
      <w:r>
        <w:rPr>
          <w:rFonts w:ascii="Arial" w:hAnsi="Arial" w:cs="Arial"/>
          <w:sz w:val="22"/>
        </w:rPr>
        <w:t>.</w:t>
      </w:r>
      <w:r w:rsidRPr="00184F6F">
        <w:rPr>
          <w:rFonts w:ascii="Arial" w:hAnsi="Arial" w:cs="Arial"/>
          <w:sz w:val="22"/>
        </w:rPr>
        <w:t>143</w:t>
      </w:r>
      <w:r>
        <w:rPr>
          <w:rFonts w:ascii="Arial" w:hAnsi="Arial" w:cs="Arial"/>
          <w:sz w:val="22"/>
        </w:rPr>
        <w:t>.100</w:t>
      </w:r>
      <w:r w:rsidRPr="00184F6F">
        <w:rPr>
          <w:rFonts w:ascii="Arial" w:hAnsi="Arial" w:cs="Arial"/>
          <w:sz w:val="22"/>
        </w:rPr>
        <w:t xml:space="preserve"> Pers</w:t>
      </w:r>
      <w:r w:rsidRPr="00184F6F">
        <w:rPr>
          <w:rFonts w:ascii="Arial" w:hAnsi="Arial" w:cs="Arial"/>
          <w:sz w:val="22"/>
        </w:rPr>
        <w:t>o</w:t>
      </w:r>
      <w:r w:rsidRPr="00184F6F">
        <w:rPr>
          <w:rFonts w:ascii="Arial" w:hAnsi="Arial" w:cs="Arial"/>
          <w:sz w:val="22"/>
        </w:rPr>
        <w:t>nen in Thüringen, werden es im Jahr 2040</w:t>
      </w:r>
      <w:r>
        <w:rPr>
          <w:rFonts w:ascii="Arial" w:hAnsi="Arial" w:cs="Arial"/>
          <w:sz w:val="22"/>
        </w:rPr>
        <w:t xml:space="preserve"> </w:t>
      </w:r>
      <w:r w:rsidRPr="00184F6F">
        <w:rPr>
          <w:rFonts w:ascii="Arial" w:hAnsi="Arial" w:cs="Arial"/>
          <w:sz w:val="22"/>
        </w:rPr>
        <w:t>noch 1</w:t>
      </w:r>
      <w:r>
        <w:rPr>
          <w:rFonts w:ascii="Arial" w:hAnsi="Arial" w:cs="Arial"/>
          <w:sz w:val="22"/>
        </w:rPr>
        <w:t>.</w:t>
      </w:r>
      <w:r w:rsidRPr="00184F6F">
        <w:rPr>
          <w:rFonts w:ascii="Arial" w:hAnsi="Arial" w:cs="Arial"/>
          <w:sz w:val="22"/>
        </w:rPr>
        <w:t>862</w:t>
      </w:r>
      <w:r>
        <w:rPr>
          <w:rFonts w:ascii="Arial" w:hAnsi="Arial" w:cs="Arial"/>
          <w:sz w:val="22"/>
        </w:rPr>
        <w:t xml:space="preserve">.200 </w:t>
      </w:r>
      <w:r w:rsidRPr="00184F6F">
        <w:rPr>
          <w:rFonts w:ascii="Arial" w:hAnsi="Arial" w:cs="Arial"/>
          <w:sz w:val="22"/>
        </w:rPr>
        <w:t>Personen sein. Bezüglich der Gesam</w:t>
      </w:r>
      <w:r w:rsidRPr="00184F6F">
        <w:rPr>
          <w:rFonts w:ascii="Arial" w:hAnsi="Arial" w:cs="Arial"/>
          <w:sz w:val="22"/>
        </w:rPr>
        <w:t>t</w:t>
      </w:r>
      <w:r w:rsidRPr="00184F6F">
        <w:rPr>
          <w:rFonts w:ascii="Arial" w:hAnsi="Arial" w:cs="Arial"/>
          <w:sz w:val="22"/>
        </w:rPr>
        <w:t>entwicklung gibt es zwischen den einzelnen Jahren des Vorausberechnungszeitraums gr</w:t>
      </w:r>
      <w:r w:rsidRPr="00184F6F">
        <w:rPr>
          <w:rFonts w:ascii="Arial" w:hAnsi="Arial" w:cs="Arial"/>
          <w:sz w:val="22"/>
        </w:rPr>
        <w:t>o</w:t>
      </w:r>
      <w:r w:rsidRPr="00184F6F">
        <w:rPr>
          <w:rFonts w:ascii="Arial" w:hAnsi="Arial" w:cs="Arial"/>
          <w:sz w:val="22"/>
        </w:rPr>
        <w:t xml:space="preserve">ße Unterschiede. So schwankt </w:t>
      </w:r>
      <w:r w:rsidR="006E7BB6">
        <w:rPr>
          <w:rFonts w:ascii="Arial" w:hAnsi="Arial" w:cs="Arial"/>
          <w:sz w:val="22"/>
        </w:rPr>
        <w:t>der</w:t>
      </w:r>
      <w:r w:rsidRPr="00184F6F">
        <w:rPr>
          <w:rFonts w:ascii="Arial" w:hAnsi="Arial" w:cs="Arial"/>
          <w:sz w:val="22"/>
        </w:rPr>
        <w:t xml:space="preserve"> jährliche </w:t>
      </w:r>
      <w:r w:rsidR="006E7BB6">
        <w:rPr>
          <w:rFonts w:ascii="Arial" w:hAnsi="Arial" w:cs="Arial"/>
          <w:sz w:val="22"/>
        </w:rPr>
        <w:t xml:space="preserve">Rückgang </w:t>
      </w:r>
      <w:r w:rsidRPr="00184F6F">
        <w:rPr>
          <w:rFonts w:ascii="Arial" w:hAnsi="Arial" w:cs="Arial"/>
          <w:sz w:val="22"/>
        </w:rPr>
        <w:t>von 8</w:t>
      </w:r>
      <w:r>
        <w:rPr>
          <w:rFonts w:ascii="Arial" w:hAnsi="Arial" w:cs="Arial"/>
          <w:sz w:val="22"/>
        </w:rPr>
        <w:t xml:space="preserve">.800 </w:t>
      </w:r>
      <w:r w:rsidRPr="00184F6F">
        <w:rPr>
          <w:rFonts w:ascii="Arial" w:hAnsi="Arial" w:cs="Arial"/>
          <w:sz w:val="22"/>
        </w:rPr>
        <w:t>Personen im Jahr 2019</w:t>
      </w:r>
      <w:r>
        <w:rPr>
          <w:rFonts w:ascii="Arial" w:hAnsi="Arial" w:cs="Arial"/>
          <w:sz w:val="22"/>
        </w:rPr>
        <w:t xml:space="preserve"> </w:t>
      </w:r>
      <w:r w:rsidRPr="00184F6F">
        <w:rPr>
          <w:rFonts w:ascii="Arial" w:hAnsi="Arial" w:cs="Arial"/>
          <w:sz w:val="22"/>
        </w:rPr>
        <w:t>(Min</w:t>
      </w:r>
      <w:r w:rsidRPr="00184F6F">
        <w:rPr>
          <w:rFonts w:ascii="Arial" w:hAnsi="Arial" w:cs="Arial"/>
          <w:sz w:val="22"/>
        </w:rPr>
        <w:t>i</w:t>
      </w:r>
      <w:r w:rsidRPr="00184F6F">
        <w:rPr>
          <w:rFonts w:ascii="Arial" w:hAnsi="Arial" w:cs="Arial"/>
          <w:sz w:val="22"/>
        </w:rPr>
        <w:t>mum) bis 14</w:t>
      </w:r>
      <w:r>
        <w:rPr>
          <w:rFonts w:ascii="Arial" w:hAnsi="Arial" w:cs="Arial"/>
          <w:sz w:val="22"/>
        </w:rPr>
        <w:t>.800</w:t>
      </w:r>
      <w:r w:rsidRPr="00184F6F">
        <w:rPr>
          <w:rFonts w:ascii="Arial" w:hAnsi="Arial" w:cs="Arial"/>
          <w:sz w:val="22"/>
        </w:rPr>
        <w:t xml:space="preserve"> Personen im Jahr 2029 (Maximum)</w:t>
      </w:r>
      <w:r w:rsidR="006E7BB6">
        <w:rPr>
          <w:rFonts w:ascii="Arial" w:hAnsi="Arial" w:cs="Arial"/>
          <w:sz w:val="22"/>
        </w:rPr>
        <w:t>. Im Durchschnitt verliert</w:t>
      </w:r>
      <w:r w:rsidRPr="00184F6F">
        <w:rPr>
          <w:rFonts w:ascii="Arial" w:hAnsi="Arial" w:cs="Arial"/>
          <w:sz w:val="22"/>
        </w:rPr>
        <w:t xml:space="preserve"> Thüringen </w:t>
      </w:r>
      <w:r w:rsidR="006E7BB6">
        <w:rPr>
          <w:rFonts w:ascii="Arial" w:hAnsi="Arial" w:cs="Arial"/>
          <w:sz w:val="22"/>
        </w:rPr>
        <w:t>pro Jahr ca. 12.800 Einwohner</w:t>
      </w:r>
      <w:r w:rsidRPr="00184F6F">
        <w:rPr>
          <w:rFonts w:ascii="Arial" w:hAnsi="Arial" w:cs="Arial"/>
          <w:sz w:val="22"/>
        </w:rPr>
        <w:t xml:space="preserve">. </w:t>
      </w:r>
      <w:r w:rsidRPr="00184F6F">
        <w:rPr>
          <w:rFonts w:ascii="Arial" w:eastAsia="Times New Roman" w:hAnsi="Arial" w:cs="Arial"/>
          <w:sz w:val="22"/>
          <w:lang w:eastAsia="de-DE"/>
        </w:rPr>
        <w:t>Hauptursache für den Bevölkerungsrückgang ist der anhalte</w:t>
      </w:r>
      <w:r w:rsidRPr="00184F6F">
        <w:rPr>
          <w:rFonts w:ascii="Arial" w:eastAsia="Times New Roman" w:hAnsi="Arial" w:cs="Arial"/>
          <w:sz w:val="22"/>
          <w:lang w:eastAsia="de-DE"/>
        </w:rPr>
        <w:t>n</w:t>
      </w:r>
      <w:r w:rsidRPr="00184F6F">
        <w:rPr>
          <w:rFonts w:ascii="Arial" w:eastAsia="Times New Roman" w:hAnsi="Arial" w:cs="Arial"/>
          <w:sz w:val="22"/>
          <w:lang w:eastAsia="de-DE"/>
        </w:rPr>
        <w:t xml:space="preserve">de Sterbefallüberschuss. </w:t>
      </w:r>
    </w:p>
    <w:p w:rsidR="00BB60C0" w:rsidRPr="00184F6F" w:rsidRDefault="00BB60C0" w:rsidP="00BB60C0">
      <w:pPr>
        <w:jc w:val="both"/>
        <w:rPr>
          <w:rFonts w:ascii="Arial" w:eastAsia="Times New Roman" w:hAnsi="Arial" w:cs="Arial"/>
          <w:sz w:val="22"/>
          <w:lang w:eastAsia="de-DE"/>
        </w:rPr>
      </w:pPr>
    </w:p>
    <w:p w:rsidR="00BB60C0" w:rsidRDefault="00BB60C0" w:rsidP="00BB60C0">
      <w:pPr>
        <w:jc w:val="both"/>
        <w:rPr>
          <w:rFonts w:ascii="Arial" w:hAnsi="Arial" w:cs="Arial"/>
          <w:sz w:val="22"/>
        </w:rPr>
      </w:pPr>
      <w:r w:rsidRPr="00184F6F">
        <w:rPr>
          <w:rFonts w:ascii="Arial" w:hAnsi="Arial" w:cs="Arial"/>
          <w:sz w:val="22"/>
        </w:rPr>
        <w:t>Die Bevölkerung Thüringens wird sich nicht nur weiter verringern, sondern zudem immer älter werden. Ende 2018</w:t>
      </w:r>
      <w:r>
        <w:rPr>
          <w:rFonts w:ascii="Arial" w:hAnsi="Arial" w:cs="Arial"/>
          <w:sz w:val="22"/>
        </w:rPr>
        <w:t xml:space="preserve"> </w:t>
      </w:r>
      <w:r w:rsidRPr="00184F6F">
        <w:rPr>
          <w:rFonts w:ascii="Arial" w:hAnsi="Arial" w:cs="Arial"/>
          <w:sz w:val="22"/>
        </w:rPr>
        <w:t>betrug der Anteil der Personen ab 65 Jahre an der Gesamtbevölk</w:t>
      </w:r>
      <w:r w:rsidRPr="00184F6F">
        <w:rPr>
          <w:rFonts w:ascii="Arial" w:hAnsi="Arial" w:cs="Arial"/>
          <w:sz w:val="22"/>
        </w:rPr>
        <w:t>e</w:t>
      </w:r>
      <w:r w:rsidRPr="00184F6F">
        <w:rPr>
          <w:rFonts w:ascii="Arial" w:hAnsi="Arial" w:cs="Arial"/>
          <w:sz w:val="22"/>
        </w:rPr>
        <w:t>rung 25,7</w:t>
      </w:r>
      <w:r>
        <w:rPr>
          <w:rFonts w:ascii="Arial" w:hAnsi="Arial" w:cs="Arial"/>
          <w:sz w:val="22"/>
        </w:rPr>
        <w:t xml:space="preserve"> %</w:t>
      </w:r>
      <w:r w:rsidRPr="00184F6F">
        <w:rPr>
          <w:rFonts w:ascii="Arial" w:hAnsi="Arial" w:cs="Arial"/>
          <w:sz w:val="22"/>
        </w:rPr>
        <w:t>. Im Jahr 2037</w:t>
      </w:r>
      <w:r>
        <w:rPr>
          <w:rFonts w:ascii="Arial" w:hAnsi="Arial" w:cs="Arial"/>
          <w:sz w:val="22"/>
        </w:rPr>
        <w:t xml:space="preserve"> </w:t>
      </w:r>
      <w:r w:rsidRPr="00184F6F">
        <w:rPr>
          <w:rFonts w:ascii="Arial" w:hAnsi="Arial" w:cs="Arial"/>
          <w:sz w:val="22"/>
        </w:rPr>
        <w:t>w</w:t>
      </w:r>
      <w:r>
        <w:rPr>
          <w:rFonts w:ascii="Arial" w:hAnsi="Arial" w:cs="Arial"/>
          <w:sz w:val="22"/>
        </w:rPr>
        <w:t>ird</w:t>
      </w:r>
      <w:r w:rsidRPr="00184F6F">
        <w:rPr>
          <w:rFonts w:ascii="Arial" w:hAnsi="Arial" w:cs="Arial"/>
          <w:sz w:val="22"/>
        </w:rPr>
        <w:t xml:space="preserve"> mit 33,1</w:t>
      </w:r>
      <w:r>
        <w:rPr>
          <w:rFonts w:ascii="Arial" w:hAnsi="Arial" w:cs="Arial"/>
          <w:sz w:val="22"/>
        </w:rPr>
        <w:t xml:space="preserve"> %</w:t>
      </w:r>
      <w:r w:rsidRPr="00184F6F">
        <w:rPr>
          <w:rFonts w:ascii="Arial" w:hAnsi="Arial" w:cs="Arial"/>
          <w:sz w:val="22"/>
        </w:rPr>
        <w:t xml:space="preserve"> ein Drittel aller Thüringer 65 Jahre und älter sein.</w:t>
      </w:r>
      <w:r>
        <w:rPr>
          <w:rFonts w:ascii="Arial" w:hAnsi="Arial" w:cs="Arial"/>
          <w:sz w:val="22"/>
        </w:rPr>
        <w:t xml:space="preserve"> </w:t>
      </w:r>
      <w:r w:rsidRPr="00184F6F">
        <w:rPr>
          <w:rFonts w:ascii="Arial" w:hAnsi="Arial" w:cs="Arial"/>
          <w:sz w:val="22"/>
        </w:rPr>
        <w:t>Danach sinkt ihr Anteil leicht ab auf 32,8</w:t>
      </w:r>
      <w:r>
        <w:rPr>
          <w:rFonts w:ascii="Arial" w:hAnsi="Arial" w:cs="Arial"/>
          <w:sz w:val="22"/>
        </w:rPr>
        <w:t xml:space="preserve"> %</w:t>
      </w:r>
      <w:r w:rsidRPr="00184F6F">
        <w:rPr>
          <w:rFonts w:ascii="Arial" w:hAnsi="Arial" w:cs="Arial"/>
          <w:sz w:val="22"/>
        </w:rPr>
        <w:t xml:space="preserve"> im Jahr 2040.</w:t>
      </w:r>
      <w:r>
        <w:rPr>
          <w:rFonts w:ascii="Arial" w:hAnsi="Arial" w:cs="Arial"/>
          <w:sz w:val="22"/>
        </w:rPr>
        <w:t xml:space="preserve"> </w:t>
      </w:r>
      <w:r w:rsidRPr="00184F6F">
        <w:rPr>
          <w:rFonts w:ascii="Arial" w:hAnsi="Arial" w:cs="Arial"/>
          <w:sz w:val="22"/>
        </w:rPr>
        <w:t xml:space="preserve">Der Anteil der jungen Menschen </w:t>
      </w:r>
      <w:r w:rsidRPr="00184F6F">
        <w:rPr>
          <w:rFonts w:ascii="Arial" w:hAnsi="Arial" w:cs="Arial"/>
          <w:sz w:val="22"/>
        </w:rPr>
        <w:lastRenderedPageBreak/>
        <w:t>unter 20 Jahren an der Gesamtbevölkerung ist vergleichsweise stabil. Er steigt bis 2026 von aktuell 16,8</w:t>
      </w:r>
      <w:r>
        <w:rPr>
          <w:rFonts w:ascii="Arial" w:hAnsi="Arial" w:cs="Arial"/>
          <w:sz w:val="22"/>
        </w:rPr>
        <w:t xml:space="preserve"> % </w:t>
      </w:r>
      <w:r w:rsidRPr="00184F6F">
        <w:rPr>
          <w:rFonts w:ascii="Arial" w:hAnsi="Arial" w:cs="Arial"/>
          <w:sz w:val="22"/>
        </w:rPr>
        <w:t>auf 17,4</w:t>
      </w:r>
      <w:r>
        <w:rPr>
          <w:rFonts w:ascii="Arial" w:hAnsi="Arial" w:cs="Arial"/>
          <w:sz w:val="22"/>
        </w:rPr>
        <w:t xml:space="preserve"> %. An</w:t>
      </w:r>
      <w:r w:rsidRPr="00184F6F">
        <w:rPr>
          <w:rFonts w:ascii="Arial" w:hAnsi="Arial" w:cs="Arial"/>
          <w:sz w:val="22"/>
        </w:rPr>
        <w:t>schließend reduziert sich der Anteil der Kinder und Jugendl</w:t>
      </w:r>
      <w:r w:rsidRPr="00184F6F">
        <w:rPr>
          <w:rFonts w:ascii="Arial" w:hAnsi="Arial" w:cs="Arial"/>
          <w:sz w:val="22"/>
        </w:rPr>
        <w:t>i</w:t>
      </w:r>
      <w:r w:rsidRPr="00184F6F">
        <w:rPr>
          <w:rFonts w:ascii="Arial" w:hAnsi="Arial" w:cs="Arial"/>
          <w:sz w:val="22"/>
        </w:rPr>
        <w:t>chen</w:t>
      </w:r>
      <w:r>
        <w:rPr>
          <w:rFonts w:ascii="Arial" w:hAnsi="Arial" w:cs="Arial"/>
          <w:sz w:val="22"/>
        </w:rPr>
        <w:t xml:space="preserve"> </w:t>
      </w:r>
      <w:r w:rsidRPr="00184F6F">
        <w:rPr>
          <w:rFonts w:ascii="Arial" w:hAnsi="Arial" w:cs="Arial"/>
          <w:sz w:val="22"/>
        </w:rPr>
        <w:t>bis 2040 wieder auf 16,8</w:t>
      </w:r>
      <w:r>
        <w:rPr>
          <w:rFonts w:ascii="Arial" w:hAnsi="Arial" w:cs="Arial"/>
          <w:sz w:val="22"/>
        </w:rPr>
        <w:t xml:space="preserve"> %</w:t>
      </w:r>
      <w:r w:rsidRPr="00184F6F">
        <w:rPr>
          <w:rFonts w:ascii="Arial" w:hAnsi="Arial" w:cs="Arial"/>
          <w:sz w:val="22"/>
        </w:rPr>
        <w:t>.</w:t>
      </w:r>
      <w:r>
        <w:rPr>
          <w:rFonts w:ascii="Arial" w:hAnsi="Arial" w:cs="Arial"/>
          <w:sz w:val="22"/>
        </w:rPr>
        <w:t xml:space="preserve"> </w:t>
      </w:r>
    </w:p>
    <w:p w:rsidR="00E7179A" w:rsidRDefault="00E7179A" w:rsidP="00BB60C0">
      <w:pPr>
        <w:jc w:val="both"/>
        <w:rPr>
          <w:rFonts w:ascii="Arial" w:hAnsi="Arial" w:cs="Arial"/>
          <w:sz w:val="22"/>
        </w:rPr>
      </w:pPr>
    </w:p>
    <w:p w:rsidR="00BB60C0" w:rsidRPr="00184F6F" w:rsidRDefault="00BB60C0" w:rsidP="00BB60C0">
      <w:pPr>
        <w:jc w:val="both"/>
        <w:rPr>
          <w:rFonts w:ascii="Arial" w:eastAsia="Times New Roman" w:hAnsi="Arial" w:cs="Arial"/>
          <w:sz w:val="22"/>
          <w:lang w:eastAsia="de-DE"/>
        </w:rPr>
      </w:pPr>
      <w:r w:rsidRPr="00184F6F">
        <w:rPr>
          <w:rFonts w:ascii="Arial" w:hAnsi="Arial" w:cs="Arial"/>
          <w:sz w:val="22"/>
        </w:rPr>
        <w:t>Entgegengesetzt</w:t>
      </w:r>
      <w:r>
        <w:rPr>
          <w:rFonts w:ascii="Arial" w:hAnsi="Arial" w:cs="Arial"/>
          <w:sz w:val="22"/>
        </w:rPr>
        <w:t xml:space="preserve"> </w:t>
      </w:r>
      <w:r w:rsidRPr="00184F6F">
        <w:rPr>
          <w:rFonts w:ascii="Arial" w:hAnsi="Arial" w:cs="Arial"/>
          <w:sz w:val="22"/>
        </w:rPr>
        <w:t>zur</w:t>
      </w:r>
      <w:r>
        <w:rPr>
          <w:rFonts w:ascii="Arial" w:hAnsi="Arial" w:cs="Arial"/>
          <w:sz w:val="22"/>
        </w:rPr>
        <w:t xml:space="preserve"> </w:t>
      </w:r>
      <w:r w:rsidRPr="00184F6F">
        <w:rPr>
          <w:rFonts w:ascii="Arial" w:hAnsi="Arial" w:cs="Arial"/>
          <w:sz w:val="22"/>
        </w:rPr>
        <w:t>Entwicklung</w:t>
      </w:r>
      <w:r>
        <w:rPr>
          <w:rFonts w:ascii="Arial" w:hAnsi="Arial" w:cs="Arial"/>
          <w:sz w:val="22"/>
        </w:rPr>
        <w:t xml:space="preserve"> </w:t>
      </w:r>
      <w:r w:rsidRPr="00184F6F">
        <w:rPr>
          <w:rFonts w:ascii="Arial" w:hAnsi="Arial" w:cs="Arial"/>
          <w:sz w:val="22"/>
        </w:rPr>
        <w:t>der Bevölkerung ab 65 Jahre verläuft</w:t>
      </w:r>
      <w:r>
        <w:rPr>
          <w:rFonts w:ascii="Arial" w:hAnsi="Arial" w:cs="Arial"/>
          <w:sz w:val="22"/>
        </w:rPr>
        <w:t xml:space="preserve"> </w:t>
      </w:r>
      <w:r w:rsidRPr="00184F6F">
        <w:rPr>
          <w:rFonts w:ascii="Arial" w:hAnsi="Arial" w:cs="Arial"/>
          <w:sz w:val="22"/>
        </w:rPr>
        <w:t>der Anteil der Bevö</w:t>
      </w:r>
      <w:r w:rsidRPr="00184F6F">
        <w:rPr>
          <w:rFonts w:ascii="Arial" w:hAnsi="Arial" w:cs="Arial"/>
          <w:sz w:val="22"/>
        </w:rPr>
        <w:t>l</w:t>
      </w:r>
      <w:r w:rsidRPr="00184F6F">
        <w:rPr>
          <w:rFonts w:ascii="Arial" w:hAnsi="Arial" w:cs="Arial"/>
          <w:sz w:val="22"/>
        </w:rPr>
        <w:t xml:space="preserve">kerung im Alter von 20 bis unter 65 Jahren. Von </w:t>
      </w:r>
      <w:r>
        <w:rPr>
          <w:rFonts w:ascii="Arial" w:hAnsi="Arial" w:cs="Arial"/>
          <w:sz w:val="22"/>
        </w:rPr>
        <w:t>derzeit</w:t>
      </w:r>
      <w:r w:rsidRPr="00184F6F">
        <w:rPr>
          <w:rFonts w:ascii="Arial" w:hAnsi="Arial" w:cs="Arial"/>
          <w:sz w:val="22"/>
        </w:rPr>
        <w:t xml:space="preserve"> 57,5</w:t>
      </w:r>
      <w:r>
        <w:rPr>
          <w:rFonts w:ascii="Arial" w:hAnsi="Arial" w:cs="Arial"/>
          <w:sz w:val="22"/>
        </w:rPr>
        <w:t xml:space="preserve"> %</w:t>
      </w:r>
      <w:r w:rsidRPr="00184F6F">
        <w:rPr>
          <w:rFonts w:ascii="Arial" w:hAnsi="Arial" w:cs="Arial"/>
          <w:sz w:val="22"/>
        </w:rPr>
        <w:t xml:space="preserve"> sinkt der Anteil der Me</w:t>
      </w:r>
      <w:r w:rsidRPr="00184F6F">
        <w:rPr>
          <w:rFonts w:ascii="Arial" w:hAnsi="Arial" w:cs="Arial"/>
          <w:sz w:val="22"/>
        </w:rPr>
        <w:t>n</w:t>
      </w:r>
      <w:r w:rsidRPr="00184F6F">
        <w:rPr>
          <w:rFonts w:ascii="Arial" w:hAnsi="Arial" w:cs="Arial"/>
          <w:sz w:val="22"/>
        </w:rPr>
        <w:t>schen im erwerbsfähigen Alter auf 50,0</w:t>
      </w:r>
      <w:r>
        <w:rPr>
          <w:rFonts w:ascii="Arial" w:hAnsi="Arial" w:cs="Arial"/>
          <w:sz w:val="22"/>
        </w:rPr>
        <w:t xml:space="preserve"> %</w:t>
      </w:r>
      <w:r w:rsidRPr="00184F6F">
        <w:rPr>
          <w:rFonts w:ascii="Arial" w:hAnsi="Arial" w:cs="Arial"/>
          <w:sz w:val="22"/>
        </w:rPr>
        <w:t xml:space="preserve"> im Jahr 2036. Anschließend steigt er bis 2040 leicht an auf 50,4</w:t>
      </w:r>
      <w:r>
        <w:rPr>
          <w:rFonts w:ascii="Arial" w:hAnsi="Arial" w:cs="Arial"/>
          <w:sz w:val="22"/>
        </w:rPr>
        <w:t xml:space="preserve"> %</w:t>
      </w:r>
      <w:r w:rsidRPr="00184F6F">
        <w:rPr>
          <w:rFonts w:ascii="Arial" w:hAnsi="Arial" w:cs="Arial"/>
          <w:sz w:val="22"/>
        </w:rPr>
        <w:t>.</w:t>
      </w:r>
      <w:r>
        <w:rPr>
          <w:rFonts w:ascii="Arial" w:hAnsi="Arial" w:cs="Arial"/>
          <w:sz w:val="22"/>
        </w:rPr>
        <w:t xml:space="preserve"> </w:t>
      </w:r>
      <w:r w:rsidRPr="00184F6F">
        <w:rPr>
          <w:rFonts w:ascii="Arial" w:hAnsi="Arial" w:cs="Arial"/>
          <w:sz w:val="22"/>
        </w:rPr>
        <w:t>Das Durchschnittsalter der Thüringer lag Ende 2018</w:t>
      </w:r>
      <w:r>
        <w:rPr>
          <w:rFonts w:ascii="Arial" w:hAnsi="Arial" w:cs="Arial"/>
          <w:sz w:val="22"/>
        </w:rPr>
        <w:t xml:space="preserve"> </w:t>
      </w:r>
      <w:r w:rsidRPr="00184F6F">
        <w:rPr>
          <w:rFonts w:ascii="Arial" w:hAnsi="Arial" w:cs="Arial"/>
          <w:sz w:val="22"/>
        </w:rPr>
        <w:t>bei 47,2</w:t>
      </w:r>
      <w:r>
        <w:rPr>
          <w:rFonts w:ascii="Arial" w:hAnsi="Arial" w:cs="Arial"/>
          <w:sz w:val="22"/>
        </w:rPr>
        <w:t xml:space="preserve"> </w:t>
      </w:r>
      <w:r w:rsidRPr="00184F6F">
        <w:rPr>
          <w:rFonts w:ascii="Arial" w:hAnsi="Arial" w:cs="Arial"/>
          <w:sz w:val="22"/>
        </w:rPr>
        <w:t>Jahren und wird demnach bis zum Jahr 2040</w:t>
      </w:r>
      <w:r>
        <w:rPr>
          <w:rFonts w:ascii="Arial" w:hAnsi="Arial" w:cs="Arial"/>
          <w:sz w:val="22"/>
        </w:rPr>
        <w:t xml:space="preserve"> </w:t>
      </w:r>
      <w:r w:rsidRPr="00184F6F">
        <w:rPr>
          <w:rFonts w:ascii="Arial" w:hAnsi="Arial" w:cs="Arial"/>
          <w:sz w:val="22"/>
        </w:rPr>
        <w:t>auf 49,6</w:t>
      </w:r>
      <w:r>
        <w:rPr>
          <w:rFonts w:ascii="Arial" w:hAnsi="Arial" w:cs="Arial"/>
          <w:sz w:val="22"/>
        </w:rPr>
        <w:t xml:space="preserve"> </w:t>
      </w:r>
      <w:r w:rsidRPr="00184F6F">
        <w:rPr>
          <w:rFonts w:ascii="Arial" w:hAnsi="Arial" w:cs="Arial"/>
          <w:sz w:val="22"/>
        </w:rPr>
        <w:t>Jahre ansteigen.</w:t>
      </w:r>
      <w:r>
        <w:rPr>
          <w:rFonts w:ascii="Arial" w:hAnsi="Arial" w:cs="Arial"/>
          <w:sz w:val="22"/>
        </w:rPr>
        <w:t xml:space="preserve"> </w:t>
      </w:r>
    </w:p>
    <w:p w:rsidR="00BB60C0" w:rsidRDefault="00BB60C0" w:rsidP="00BB60C0">
      <w:pPr>
        <w:rPr>
          <w:rFonts w:ascii="Arial" w:eastAsia="Times New Roman" w:hAnsi="Arial" w:cs="Arial"/>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Gebäude und Wohnungen</w:t>
      </w:r>
    </w:p>
    <w:p w:rsidR="00BB60C0" w:rsidRPr="00920C93" w:rsidRDefault="00BB60C0" w:rsidP="00BB60C0">
      <w:pPr>
        <w:autoSpaceDE w:val="0"/>
        <w:autoSpaceDN w:val="0"/>
        <w:adjustRightInd w:val="0"/>
        <w:jc w:val="both"/>
        <w:rPr>
          <w:rFonts w:ascii="Arial" w:hAnsi="Arial" w:cs="Arial"/>
          <w:sz w:val="22"/>
        </w:rPr>
      </w:pPr>
    </w:p>
    <w:p w:rsidR="00BB60C0" w:rsidRPr="00920C93" w:rsidRDefault="00BB60C0" w:rsidP="00BB60C0">
      <w:pPr>
        <w:autoSpaceDE w:val="0"/>
        <w:autoSpaceDN w:val="0"/>
        <w:adjustRightInd w:val="0"/>
        <w:jc w:val="both"/>
        <w:rPr>
          <w:rFonts w:ascii="Arial" w:hAnsi="Arial" w:cs="Arial"/>
          <w:sz w:val="22"/>
        </w:rPr>
      </w:pPr>
      <w:r w:rsidRPr="00920C93">
        <w:rPr>
          <w:rFonts w:ascii="Arial" w:hAnsi="Arial" w:cs="Arial"/>
          <w:sz w:val="22"/>
        </w:rPr>
        <w:t>Die Wohnungsfortschreibung in Thüringen ergab für Ende 2018 einen Wohnungsbestand von 1.184.834 Wohnungen (einschließlich Wohnheimen). Die durchschnittliche Wohnung in Thüringen hatte eine Wohnfläche von 82,2 m² (ohne Keller- und Bodenräume, Treppenhä</w:t>
      </w:r>
      <w:r w:rsidRPr="00920C93">
        <w:rPr>
          <w:rFonts w:ascii="Arial" w:hAnsi="Arial" w:cs="Arial"/>
          <w:sz w:val="22"/>
        </w:rPr>
        <w:t>u</w:t>
      </w:r>
      <w:r w:rsidRPr="00920C93">
        <w:rPr>
          <w:rFonts w:ascii="Arial" w:hAnsi="Arial" w:cs="Arial"/>
          <w:sz w:val="22"/>
        </w:rPr>
        <w:t xml:space="preserve">ser usw.). Somit kamen rechnerisch 1,8 Personen auf eine Wohnung (sog. durchschnittliche Belegungsdichte). Jedem Einwohner standen theoretisch zwei Räume bzw. 45,4 m² (Vorjahr 45,0 m²) Wohnfläche zur Verfügung. </w:t>
      </w:r>
    </w:p>
    <w:p w:rsidR="00BB60C0" w:rsidRPr="00920C93" w:rsidRDefault="00BB60C0" w:rsidP="00BB60C0">
      <w:pPr>
        <w:autoSpaceDE w:val="0"/>
        <w:autoSpaceDN w:val="0"/>
        <w:adjustRightInd w:val="0"/>
        <w:jc w:val="both"/>
        <w:rPr>
          <w:rFonts w:ascii="Arial" w:hAnsi="Arial" w:cs="Arial"/>
          <w:sz w:val="22"/>
        </w:rPr>
      </w:pPr>
    </w:p>
    <w:p w:rsidR="00BB60C0" w:rsidRDefault="00BB60C0" w:rsidP="00BB60C0">
      <w:pPr>
        <w:jc w:val="both"/>
        <w:rPr>
          <w:rFonts w:ascii="Arial" w:eastAsia="Times New Roman" w:hAnsi="Arial" w:cs="Arial"/>
          <w:sz w:val="22"/>
          <w:lang w:eastAsia="de-DE"/>
        </w:rPr>
      </w:pPr>
      <w:r w:rsidRPr="000C1003">
        <w:rPr>
          <w:rFonts w:ascii="Arial" w:eastAsia="Times New Roman" w:hAnsi="Arial" w:cs="Arial"/>
          <w:sz w:val="22"/>
          <w:lang w:eastAsia="de-DE"/>
        </w:rPr>
        <w:t>Wie das Thüringer Landesamt für Statistik weiter mitteilt, gab es in Thüringen Ende 2018 rund 530.283 Wohngebäude. 66,1 % der Wohngebäude waren Einfamilienhäuser, deren Bestand sich gegenüber dem Vorjahr um 1.645 Gebäude erhöhte. 17,6 % waren Zweifamil</w:t>
      </w:r>
      <w:r w:rsidRPr="000C1003">
        <w:rPr>
          <w:rFonts w:ascii="Arial" w:eastAsia="Times New Roman" w:hAnsi="Arial" w:cs="Arial"/>
          <w:sz w:val="22"/>
          <w:lang w:eastAsia="de-DE"/>
        </w:rPr>
        <w:t>i</w:t>
      </w:r>
      <w:r w:rsidRPr="000C1003">
        <w:rPr>
          <w:rFonts w:ascii="Arial" w:eastAsia="Times New Roman" w:hAnsi="Arial" w:cs="Arial"/>
          <w:sz w:val="22"/>
          <w:lang w:eastAsia="de-DE"/>
        </w:rPr>
        <w:t>enhäuser</w:t>
      </w:r>
      <w:r>
        <w:rPr>
          <w:rFonts w:ascii="Arial" w:eastAsia="Times New Roman" w:hAnsi="Arial" w:cs="Arial"/>
          <w:sz w:val="22"/>
          <w:lang w:eastAsia="de-DE"/>
        </w:rPr>
        <w:t xml:space="preserve"> (+ </w:t>
      </w:r>
      <w:r w:rsidRPr="000C1003">
        <w:rPr>
          <w:rFonts w:ascii="Arial" w:eastAsia="Times New Roman" w:hAnsi="Arial" w:cs="Arial"/>
          <w:sz w:val="22"/>
          <w:lang w:eastAsia="de-DE"/>
        </w:rPr>
        <w:t>123 Gebäude</w:t>
      </w:r>
      <w:r>
        <w:rPr>
          <w:rFonts w:ascii="Arial" w:eastAsia="Times New Roman" w:hAnsi="Arial" w:cs="Arial"/>
          <w:sz w:val="22"/>
          <w:lang w:eastAsia="de-DE"/>
        </w:rPr>
        <w:t>). Auf</w:t>
      </w:r>
      <w:r w:rsidRPr="000C1003">
        <w:rPr>
          <w:rFonts w:ascii="Arial" w:eastAsia="Times New Roman" w:hAnsi="Arial" w:cs="Arial"/>
          <w:sz w:val="22"/>
          <w:lang w:eastAsia="de-DE"/>
        </w:rPr>
        <w:t xml:space="preserve"> den Geschoss</w:t>
      </w:r>
      <w:r>
        <w:rPr>
          <w:rFonts w:ascii="Arial" w:eastAsia="Times New Roman" w:hAnsi="Arial" w:cs="Arial"/>
          <w:sz w:val="22"/>
          <w:lang w:eastAsia="de-DE"/>
        </w:rPr>
        <w:t>wohnungs</w:t>
      </w:r>
      <w:r w:rsidRPr="000C1003">
        <w:rPr>
          <w:rFonts w:ascii="Arial" w:eastAsia="Times New Roman" w:hAnsi="Arial" w:cs="Arial"/>
          <w:sz w:val="22"/>
          <w:lang w:eastAsia="de-DE"/>
        </w:rPr>
        <w:t>bau (einschl. Wohnheime) entfielen 16,3 %</w:t>
      </w:r>
      <w:r>
        <w:rPr>
          <w:rFonts w:ascii="Arial" w:eastAsia="Times New Roman" w:hAnsi="Arial" w:cs="Arial"/>
          <w:sz w:val="22"/>
          <w:lang w:eastAsia="de-DE"/>
        </w:rPr>
        <w:t xml:space="preserve"> (+ </w:t>
      </w:r>
      <w:r w:rsidRPr="000C1003">
        <w:rPr>
          <w:rFonts w:ascii="Arial" w:eastAsia="Times New Roman" w:hAnsi="Arial" w:cs="Arial"/>
          <w:sz w:val="22"/>
          <w:lang w:eastAsia="de-DE"/>
        </w:rPr>
        <w:t xml:space="preserve">197 </w:t>
      </w:r>
      <w:r>
        <w:rPr>
          <w:rFonts w:ascii="Arial" w:eastAsia="Times New Roman" w:hAnsi="Arial" w:cs="Arial"/>
          <w:sz w:val="22"/>
          <w:lang w:eastAsia="de-DE"/>
        </w:rPr>
        <w:t>Gebäude mit 1.477 Wohnungen).</w:t>
      </w:r>
    </w:p>
    <w:p w:rsidR="00BB60C0" w:rsidRPr="000C1003" w:rsidRDefault="00BB60C0" w:rsidP="00BB60C0">
      <w:pPr>
        <w:jc w:val="both"/>
        <w:rPr>
          <w:rFonts w:ascii="Arial" w:eastAsia="Times New Roman" w:hAnsi="Arial" w:cs="Arial"/>
          <w:sz w:val="22"/>
          <w:lang w:eastAsia="de-DE"/>
        </w:rPr>
      </w:pPr>
    </w:p>
    <w:p w:rsidR="00BB60C0" w:rsidRDefault="00BB60C0" w:rsidP="00BB60C0">
      <w:pPr>
        <w:jc w:val="both"/>
        <w:rPr>
          <w:rFonts w:ascii="Arial" w:hAnsi="Arial" w:cs="Arial"/>
          <w:sz w:val="22"/>
        </w:rPr>
      </w:pPr>
      <w:r w:rsidRPr="000C1003">
        <w:rPr>
          <w:rFonts w:ascii="Arial" w:hAnsi="Arial" w:cs="Arial"/>
          <w:sz w:val="22"/>
        </w:rPr>
        <w:t>Ein Zugang an Wohnungen ist in allen Wohnraumgrößen (einschließlich Küche) festzuste</w:t>
      </w:r>
      <w:r w:rsidRPr="000C1003">
        <w:rPr>
          <w:rFonts w:ascii="Arial" w:hAnsi="Arial" w:cs="Arial"/>
          <w:sz w:val="22"/>
        </w:rPr>
        <w:t>l</w:t>
      </w:r>
      <w:r w:rsidRPr="000C1003">
        <w:rPr>
          <w:rFonts w:ascii="Arial" w:hAnsi="Arial" w:cs="Arial"/>
          <w:sz w:val="22"/>
        </w:rPr>
        <w:t>len.</w:t>
      </w:r>
      <w:r>
        <w:rPr>
          <w:rFonts w:ascii="Arial" w:hAnsi="Arial" w:cs="Arial"/>
          <w:sz w:val="22"/>
        </w:rPr>
        <w:t xml:space="preserve"> </w:t>
      </w:r>
      <w:r w:rsidRPr="000C1003">
        <w:rPr>
          <w:rFonts w:ascii="Arial" w:hAnsi="Arial" w:cs="Arial"/>
          <w:sz w:val="22"/>
        </w:rPr>
        <w:t xml:space="preserve">Der zahlenmäßig größte Zugang ist in Wohnungen mit </w:t>
      </w:r>
      <w:r>
        <w:rPr>
          <w:rFonts w:ascii="Arial" w:hAnsi="Arial" w:cs="Arial"/>
          <w:sz w:val="22"/>
        </w:rPr>
        <w:t xml:space="preserve">sieben </w:t>
      </w:r>
      <w:r w:rsidRPr="000C1003">
        <w:rPr>
          <w:rFonts w:ascii="Arial" w:hAnsi="Arial" w:cs="Arial"/>
          <w:sz w:val="22"/>
        </w:rPr>
        <w:t>und mehr Räumen (+</w:t>
      </w:r>
      <w:r>
        <w:rPr>
          <w:rFonts w:ascii="Arial" w:hAnsi="Arial" w:cs="Arial"/>
          <w:sz w:val="22"/>
        </w:rPr>
        <w:t xml:space="preserve"> </w:t>
      </w:r>
      <w:r w:rsidRPr="000C1003">
        <w:rPr>
          <w:rFonts w:ascii="Arial" w:hAnsi="Arial" w:cs="Arial"/>
          <w:sz w:val="22"/>
        </w:rPr>
        <w:t>716) zu verzeichnen.</w:t>
      </w:r>
      <w:r>
        <w:rPr>
          <w:rFonts w:ascii="Arial" w:hAnsi="Arial" w:cs="Arial"/>
          <w:sz w:val="22"/>
        </w:rPr>
        <w:t xml:space="preserve"> </w:t>
      </w:r>
      <w:r w:rsidRPr="000C1003">
        <w:rPr>
          <w:rFonts w:ascii="Arial" w:hAnsi="Arial" w:cs="Arial"/>
          <w:sz w:val="22"/>
        </w:rPr>
        <w:t>Die Struktur des Wohnungsbestandes ist seit der Gebäude-</w:t>
      </w:r>
      <w:r>
        <w:rPr>
          <w:rFonts w:ascii="Arial" w:hAnsi="Arial" w:cs="Arial"/>
          <w:sz w:val="22"/>
        </w:rPr>
        <w:t xml:space="preserve"> </w:t>
      </w:r>
      <w:r w:rsidRPr="000C1003">
        <w:rPr>
          <w:rFonts w:ascii="Arial" w:hAnsi="Arial" w:cs="Arial"/>
          <w:sz w:val="22"/>
        </w:rPr>
        <w:t>und Wohnung</w:t>
      </w:r>
      <w:r w:rsidRPr="000C1003">
        <w:rPr>
          <w:rFonts w:ascii="Arial" w:hAnsi="Arial" w:cs="Arial"/>
          <w:sz w:val="22"/>
        </w:rPr>
        <w:t>s</w:t>
      </w:r>
      <w:r w:rsidRPr="000C1003">
        <w:rPr>
          <w:rFonts w:ascii="Arial" w:hAnsi="Arial" w:cs="Arial"/>
          <w:sz w:val="22"/>
        </w:rPr>
        <w:t>zählung 2011 gleichgeblieben. Trotz der zunehmenden Zahl von Singlehaushalten liegt de</w:t>
      </w:r>
      <w:r>
        <w:rPr>
          <w:rFonts w:ascii="Arial" w:hAnsi="Arial" w:cs="Arial"/>
          <w:sz w:val="22"/>
        </w:rPr>
        <w:t xml:space="preserve">r </w:t>
      </w:r>
      <w:r w:rsidRPr="000C1003">
        <w:rPr>
          <w:rFonts w:ascii="Arial" w:hAnsi="Arial" w:cs="Arial"/>
          <w:sz w:val="22"/>
        </w:rPr>
        <w:t xml:space="preserve">Anteil von kleinen Wohneinheiten (mit ein bis zwei Räumen) am Gesamtwohnungsbestand seit 2011 bei rund 11 </w:t>
      </w:r>
      <w:r>
        <w:rPr>
          <w:rFonts w:ascii="Arial" w:hAnsi="Arial" w:cs="Arial"/>
          <w:sz w:val="22"/>
        </w:rPr>
        <w:t>%</w:t>
      </w:r>
      <w:r w:rsidRPr="000C1003">
        <w:rPr>
          <w:rFonts w:ascii="Arial" w:hAnsi="Arial" w:cs="Arial"/>
          <w:sz w:val="22"/>
        </w:rPr>
        <w:t xml:space="preserve">. Auch die größeren Wohnungen mit </w:t>
      </w:r>
      <w:r>
        <w:rPr>
          <w:rFonts w:ascii="Arial" w:hAnsi="Arial" w:cs="Arial"/>
          <w:sz w:val="22"/>
        </w:rPr>
        <w:t>fünf</w:t>
      </w:r>
      <w:r w:rsidRPr="000C1003">
        <w:rPr>
          <w:rFonts w:ascii="Arial" w:hAnsi="Arial" w:cs="Arial"/>
          <w:sz w:val="22"/>
        </w:rPr>
        <w:t xml:space="preserve"> und mehr Räumen machen seitdem kontinuierlich knapp</w:t>
      </w:r>
      <w:r>
        <w:rPr>
          <w:rFonts w:ascii="Arial" w:hAnsi="Arial" w:cs="Arial"/>
          <w:sz w:val="22"/>
        </w:rPr>
        <w:t xml:space="preserve"> 40 % des Gesamtbestandes aus.</w:t>
      </w:r>
    </w:p>
    <w:p w:rsidR="00BB60C0" w:rsidRPr="000C1003" w:rsidRDefault="00BB60C0" w:rsidP="00BB60C0">
      <w:pPr>
        <w:jc w:val="both"/>
        <w:rPr>
          <w:rFonts w:ascii="Arial" w:eastAsia="Times New Roman" w:hAnsi="Arial" w:cs="Arial"/>
          <w:sz w:val="22"/>
          <w:lang w:eastAsia="de-DE"/>
        </w:rPr>
      </w:pPr>
    </w:p>
    <w:p w:rsidR="00BB60C0" w:rsidRPr="000C1003" w:rsidRDefault="00BB60C0" w:rsidP="00BB60C0">
      <w:pPr>
        <w:jc w:val="both"/>
        <w:rPr>
          <w:rFonts w:ascii="Arial" w:eastAsia="Times New Roman" w:hAnsi="Arial" w:cs="Arial"/>
          <w:i/>
          <w:sz w:val="22"/>
          <w:lang w:eastAsia="de-DE"/>
        </w:rPr>
      </w:pPr>
      <w:r w:rsidRPr="000C1003">
        <w:rPr>
          <w:rFonts w:ascii="Arial" w:hAnsi="Arial" w:cs="Arial"/>
          <w:sz w:val="22"/>
        </w:rPr>
        <w:t>Unter Berücksichtigung des Bevölkerungsstandes zum 30.06.2018</w:t>
      </w:r>
      <w:r>
        <w:rPr>
          <w:rFonts w:ascii="Arial" w:hAnsi="Arial" w:cs="Arial"/>
          <w:sz w:val="22"/>
        </w:rPr>
        <w:t xml:space="preserve"> </w:t>
      </w:r>
      <w:r w:rsidRPr="000C1003">
        <w:rPr>
          <w:rFonts w:ascii="Arial" w:hAnsi="Arial" w:cs="Arial"/>
          <w:sz w:val="22"/>
        </w:rPr>
        <w:t>entfielen in Thüringen auf 1</w:t>
      </w:r>
      <w:r w:rsidR="006E7BB6">
        <w:rPr>
          <w:rFonts w:ascii="Arial" w:hAnsi="Arial" w:cs="Arial"/>
          <w:sz w:val="22"/>
        </w:rPr>
        <w:t>.</w:t>
      </w:r>
      <w:r w:rsidRPr="000C1003">
        <w:rPr>
          <w:rFonts w:ascii="Arial" w:hAnsi="Arial" w:cs="Arial"/>
          <w:sz w:val="22"/>
        </w:rPr>
        <w:t>000</w:t>
      </w:r>
      <w:r>
        <w:rPr>
          <w:rFonts w:ascii="Arial" w:hAnsi="Arial" w:cs="Arial"/>
          <w:sz w:val="22"/>
        </w:rPr>
        <w:t xml:space="preserve"> </w:t>
      </w:r>
      <w:r w:rsidRPr="000C1003">
        <w:rPr>
          <w:rFonts w:ascii="Arial" w:hAnsi="Arial" w:cs="Arial"/>
          <w:sz w:val="22"/>
        </w:rPr>
        <w:t>Einwohner 552</w:t>
      </w:r>
      <w:r>
        <w:rPr>
          <w:rFonts w:ascii="Arial" w:hAnsi="Arial" w:cs="Arial"/>
          <w:sz w:val="22"/>
        </w:rPr>
        <w:t xml:space="preserve"> </w:t>
      </w:r>
      <w:r w:rsidRPr="000C1003">
        <w:rPr>
          <w:rFonts w:ascii="Arial" w:hAnsi="Arial" w:cs="Arial"/>
          <w:sz w:val="22"/>
        </w:rPr>
        <w:t>Wohnungen, wobei es in den kreisfreien Städten 576 und in den Lan</w:t>
      </w:r>
      <w:r w:rsidRPr="000C1003">
        <w:rPr>
          <w:rFonts w:ascii="Arial" w:hAnsi="Arial" w:cs="Arial"/>
          <w:sz w:val="22"/>
        </w:rPr>
        <w:t>d</w:t>
      </w:r>
      <w:r w:rsidRPr="000C1003">
        <w:rPr>
          <w:rFonts w:ascii="Arial" w:hAnsi="Arial" w:cs="Arial"/>
          <w:sz w:val="22"/>
        </w:rPr>
        <w:t>kreisen 544</w:t>
      </w:r>
      <w:r>
        <w:rPr>
          <w:rFonts w:ascii="Arial" w:hAnsi="Arial" w:cs="Arial"/>
          <w:sz w:val="22"/>
        </w:rPr>
        <w:t xml:space="preserve"> </w:t>
      </w:r>
      <w:r w:rsidRPr="000C1003">
        <w:rPr>
          <w:rFonts w:ascii="Arial" w:hAnsi="Arial" w:cs="Arial"/>
          <w:sz w:val="22"/>
        </w:rPr>
        <w:t>Wohnungen pro 1</w:t>
      </w:r>
      <w:r>
        <w:rPr>
          <w:rFonts w:ascii="Arial" w:hAnsi="Arial" w:cs="Arial"/>
          <w:sz w:val="22"/>
        </w:rPr>
        <w:t>.</w:t>
      </w:r>
      <w:r w:rsidRPr="000C1003">
        <w:rPr>
          <w:rFonts w:ascii="Arial" w:hAnsi="Arial" w:cs="Arial"/>
          <w:sz w:val="22"/>
        </w:rPr>
        <w:t>000</w:t>
      </w:r>
      <w:r>
        <w:rPr>
          <w:rFonts w:ascii="Arial" w:hAnsi="Arial" w:cs="Arial"/>
          <w:sz w:val="22"/>
        </w:rPr>
        <w:t xml:space="preserve"> </w:t>
      </w:r>
      <w:r w:rsidRPr="000C1003">
        <w:rPr>
          <w:rFonts w:ascii="Arial" w:hAnsi="Arial" w:cs="Arial"/>
          <w:sz w:val="22"/>
        </w:rPr>
        <w:t>Einwohner ga</w:t>
      </w:r>
      <w:r>
        <w:rPr>
          <w:rFonts w:ascii="Arial" w:hAnsi="Arial" w:cs="Arial"/>
          <w:sz w:val="22"/>
        </w:rPr>
        <w:t>b.</w:t>
      </w:r>
    </w:p>
    <w:p w:rsidR="00BB60C0" w:rsidRPr="000C1003" w:rsidRDefault="00BB60C0" w:rsidP="00BB60C0">
      <w:pPr>
        <w:autoSpaceDE w:val="0"/>
        <w:autoSpaceDN w:val="0"/>
        <w:adjustRightInd w:val="0"/>
        <w:jc w:val="both"/>
        <w:rPr>
          <w:rFonts w:ascii="Arial" w:eastAsia="Times New Roman" w:hAnsi="Arial" w:cs="Arial"/>
          <w:color w:val="000000"/>
          <w:sz w:val="22"/>
          <w:lang w:eastAsia="de-DE"/>
        </w:rPr>
      </w:pPr>
    </w:p>
    <w:p w:rsidR="00BB60C0" w:rsidRPr="00333D36" w:rsidRDefault="00BB60C0" w:rsidP="00BB60C0">
      <w:pPr>
        <w:jc w:val="both"/>
        <w:rPr>
          <w:rFonts w:ascii="Arial" w:eastAsia="Times New Roman" w:hAnsi="Arial" w:cs="Arial"/>
          <w:b/>
          <w:sz w:val="22"/>
          <w:lang w:eastAsia="de-DE"/>
        </w:rPr>
      </w:pPr>
      <w:r w:rsidRPr="00333D36">
        <w:rPr>
          <w:rFonts w:ascii="Arial" w:eastAsia="Times New Roman" w:hAnsi="Arial" w:cs="Arial"/>
          <w:b/>
          <w:sz w:val="22"/>
          <w:lang w:eastAsia="de-DE"/>
        </w:rPr>
        <w:t>II.</w:t>
      </w:r>
      <w:r w:rsidRPr="00333D36">
        <w:rPr>
          <w:rFonts w:ascii="Arial" w:eastAsia="Times New Roman" w:hAnsi="Arial" w:cs="Arial"/>
          <w:b/>
          <w:sz w:val="22"/>
          <w:lang w:eastAsia="de-DE"/>
        </w:rPr>
        <w:tab/>
        <w:t>Branchenentwicklung</w:t>
      </w:r>
    </w:p>
    <w:p w:rsidR="00BB60C0" w:rsidRPr="00333D36" w:rsidRDefault="00BB60C0" w:rsidP="00BB60C0">
      <w:pPr>
        <w:jc w:val="both"/>
        <w:rPr>
          <w:rFonts w:ascii="Arial" w:eastAsia="Times New Roman" w:hAnsi="Arial" w:cs="Arial"/>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Allgemeine Branchenentwicklung</w:t>
      </w:r>
    </w:p>
    <w:p w:rsidR="00BB60C0" w:rsidRPr="00EB0BE9" w:rsidRDefault="00BB60C0" w:rsidP="00BB60C0">
      <w:pPr>
        <w:jc w:val="both"/>
        <w:rPr>
          <w:rFonts w:ascii="Arial" w:eastAsia="Times New Roman" w:hAnsi="Arial" w:cs="Arial"/>
          <w:sz w:val="22"/>
          <w:lang w:eastAsia="de-DE"/>
        </w:rPr>
      </w:pPr>
    </w:p>
    <w:p w:rsidR="00BB60C0" w:rsidRPr="00EB0BE9" w:rsidRDefault="00BB60C0" w:rsidP="00BB60C0">
      <w:pPr>
        <w:autoSpaceDE w:val="0"/>
        <w:autoSpaceDN w:val="0"/>
        <w:adjustRightInd w:val="0"/>
        <w:jc w:val="both"/>
        <w:rPr>
          <w:rFonts w:ascii="Arial" w:hAnsi="Arial" w:cs="Arial"/>
          <w:sz w:val="22"/>
        </w:rPr>
      </w:pPr>
      <w:r w:rsidRPr="00EB0BE9">
        <w:rPr>
          <w:rFonts w:ascii="Arial" w:hAnsi="Arial" w:cs="Arial"/>
          <w:sz w:val="22"/>
        </w:rPr>
        <w:t>Der Verband Thüringer Wohnungs- und Immobilienwirtschaft e. V. (vtw) hatte mit Stand 01.01.2020 214 Mitglieder, darunter 104 Bau- und Wohnungsgenossenschaften sowie 69 kommunale Wohnungsgesellschaften und Kommunen. Die Wohnungsunternehmen im vtw bewirtschafteten Ende 201</w:t>
      </w:r>
      <w:r w:rsidR="00680D93">
        <w:rPr>
          <w:rFonts w:ascii="Arial" w:hAnsi="Arial" w:cs="Arial"/>
          <w:sz w:val="22"/>
        </w:rPr>
        <w:t>9</w:t>
      </w:r>
      <w:r w:rsidRPr="00EB0BE9">
        <w:rPr>
          <w:rFonts w:ascii="Arial" w:hAnsi="Arial" w:cs="Arial"/>
          <w:sz w:val="22"/>
        </w:rPr>
        <w:t xml:space="preserve"> rund 26</w:t>
      </w:r>
      <w:r w:rsidR="00680D93">
        <w:rPr>
          <w:rFonts w:ascii="Arial" w:hAnsi="Arial" w:cs="Arial"/>
          <w:sz w:val="22"/>
        </w:rPr>
        <w:t>4.200</w:t>
      </w:r>
      <w:r w:rsidRPr="00EB0BE9">
        <w:rPr>
          <w:rFonts w:ascii="Arial" w:hAnsi="Arial" w:cs="Arial"/>
          <w:sz w:val="22"/>
        </w:rPr>
        <w:t xml:space="preserve"> Wohnungen. Dabei handelte es sich um 249.600 eigene und 1</w:t>
      </w:r>
      <w:r w:rsidR="00680D93">
        <w:rPr>
          <w:rFonts w:ascii="Arial" w:hAnsi="Arial" w:cs="Arial"/>
          <w:sz w:val="22"/>
        </w:rPr>
        <w:t>4</w:t>
      </w:r>
      <w:r w:rsidRPr="00EB0BE9">
        <w:rPr>
          <w:rFonts w:ascii="Arial" w:hAnsi="Arial" w:cs="Arial"/>
          <w:sz w:val="22"/>
        </w:rPr>
        <w:t>.600 Wohnungen in der Fremdverwaltung, teils in der Wohneigentumsverwa</w:t>
      </w:r>
      <w:r w:rsidRPr="00EB0BE9">
        <w:rPr>
          <w:rFonts w:ascii="Arial" w:hAnsi="Arial" w:cs="Arial"/>
          <w:sz w:val="22"/>
        </w:rPr>
        <w:t>l</w:t>
      </w:r>
      <w:r w:rsidRPr="00EB0BE9">
        <w:rPr>
          <w:rFonts w:ascii="Arial" w:hAnsi="Arial" w:cs="Arial"/>
          <w:sz w:val="22"/>
        </w:rPr>
        <w:t xml:space="preserve">tung. </w:t>
      </w:r>
    </w:p>
    <w:p w:rsidR="00BB60C0" w:rsidRPr="00EB0BE9" w:rsidRDefault="00BB60C0" w:rsidP="00BB60C0">
      <w:pPr>
        <w:autoSpaceDE w:val="0"/>
        <w:autoSpaceDN w:val="0"/>
        <w:adjustRightInd w:val="0"/>
        <w:jc w:val="both"/>
        <w:rPr>
          <w:rFonts w:ascii="Arial" w:hAnsi="Arial" w:cs="Arial"/>
          <w:sz w:val="22"/>
        </w:rPr>
      </w:pPr>
    </w:p>
    <w:p w:rsidR="00075DA1" w:rsidRDefault="00BB60C0" w:rsidP="00075DA1">
      <w:pPr>
        <w:autoSpaceDE w:val="0"/>
        <w:autoSpaceDN w:val="0"/>
        <w:adjustRightInd w:val="0"/>
        <w:jc w:val="both"/>
        <w:rPr>
          <w:rFonts w:ascii="Arial" w:eastAsia="Times New Roman" w:hAnsi="Arial" w:cs="Arial"/>
          <w:sz w:val="22"/>
          <w:lang w:eastAsia="de-DE"/>
        </w:rPr>
      </w:pPr>
      <w:r w:rsidRPr="00EB0BE9">
        <w:rPr>
          <w:rFonts w:ascii="Arial" w:eastAsia="Times New Roman" w:hAnsi="Arial" w:cs="Arial"/>
          <w:spacing w:val="-2"/>
          <w:sz w:val="22"/>
          <w:lang w:eastAsia="de-DE"/>
        </w:rPr>
        <w:t>Seit dem Jahr 1991 wurden bis Ende 201</w:t>
      </w:r>
      <w:r w:rsidR="00680D93">
        <w:rPr>
          <w:rFonts w:ascii="Arial" w:eastAsia="Times New Roman" w:hAnsi="Arial" w:cs="Arial"/>
          <w:spacing w:val="-2"/>
          <w:sz w:val="22"/>
          <w:lang w:eastAsia="de-DE"/>
        </w:rPr>
        <w:t>9</w:t>
      </w:r>
      <w:r w:rsidRPr="00EB0BE9">
        <w:rPr>
          <w:rFonts w:ascii="Arial" w:eastAsia="Times New Roman" w:hAnsi="Arial" w:cs="Arial"/>
          <w:spacing w:val="-2"/>
          <w:sz w:val="22"/>
          <w:lang w:eastAsia="de-DE"/>
        </w:rPr>
        <w:t xml:space="preserve"> von den Mitgliedsunternehmen 1</w:t>
      </w:r>
      <w:r w:rsidR="00680D93">
        <w:rPr>
          <w:rFonts w:ascii="Arial" w:eastAsia="Times New Roman" w:hAnsi="Arial" w:cs="Arial"/>
          <w:spacing w:val="-2"/>
          <w:sz w:val="22"/>
          <w:lang w:eastAsia="de-DE"/>
        </w:rPr>
        <w:t>3,3</w:t>
      </w:r>
      <w:r w:rsidRPr="00EB0BE9">
        <w:rPr>
          <w:rFonts w:ascii="Arial" w:eastAsia="Times New Roman" w:hAnsi="Arial" w:cs="Arial"/>
          <w:spacing w:val="-2"/>
          <w:sz w:val="22"/>
          <w:lang w:eastAsia="de-DE"/>
        </w:rPr>
        <w:t xml:space="preserve"> Mrd. Euro überwiegend in den Wohnungsbestand investiert. </w:t>
      </w:r>
      <w:r w:rsidRPr="00EB0BE9">
        <w:rPr>
          <w:rFonts w:ascii="Arial" w:eastAsia="Times New Roman" w:hAnsi="Arial" w:cs="Arial"/>
          <w:sz w:val="22"/>
          <w:lang w:eastAsia="de-DE"/>
        </w:rPr>
        <w:t>Die Gesamtinvestitionen der Wohnungsu</w:t>
      </w:r>
      <w:r w:rsidRPr="00EB0BE9">
        <w:rPr>
          <w:rFonts w:ascii="Arial" w:eastAsia="Times New Roman" w:hAnsi="Arial" w:cs="Arial"/>
          <w:sz w:val="22"/>
          <w:lang w:eastAsia="de-DE"/>
        </w:rPr>
        <w:t>n</w:t>
      </w:r>
      <w:r w:rsidRPr="00EB0BE9">
        <w:rPr>
          <w:rFonts w:ascii="Arial" w:eastAsia="Times New Roman" w:hAnsi="Arial" w:cs="Arial"/>
          <w:sz w:val="22"/>
          <w:lang w:eastAsia="de-DE"/>
        </w:rPr>
        <w:t>ternehmen beliefen sich im Jahr 201</w:t>
      </w:r>
      <w:r w:rsidR="00680D93">
        <w:rPr>
          <w:rFonts w:ascii="Arial" w:eastAsia="Times New Roman" w:hAnsi="Arial" w:cs="Arial"/>
          <w:sz w:val="22"/>
          <w:lang w:eastAsia="de-DE"/>
        </w:rPr>
        <w:t>9</w:t>
      </w:r>
      <w:r w:rsidRPr="00EB0BE9">
        <w:rPr>
          <w:rFonts w:ascii="Arial" w:eastAsia="Times New Roman" w:hAnsi="Arial" w:cs="Arial"/>
          <w:sz w:val="22"/>
          <w:lang w:eastAsia="de-DE"/>
        </w:rPr>
        <w:t xml:space="preserve"> auf 4</w:t>
      </w:r>
      <w:r w:rsidR="00680D93">
        <w:rPr>
          <w:rFonts w:ascii="Arial" w:eastAsia="Times New Roman" w:hAnsi="Arial" w:cs="Arial"/>
          <w:sz w:val="22"/>
          <w:lang w:eastAsia="de-DE"/>
        </w:rPr>
        <w:t>19</w:t>
      </w:r>
      <w:r w:rsidRPr="00EB0BE9">
        <w:rPr>
          <w:rFonts w:ascii="Arial" w:eastAsia="Times New Roman" w:hAnsi="Arial" w:cs="Arial"/>
          <w:sz w:val="22"/>
          <w:lang w:eastAsia="de-DE"/>
        </w:rPr>
        <w:t>,</w:t>
      </w:r>
      <w:r w:rsidR="006E7BB6">
        <w:rPr>
          <w:rFonts w:ascii="Arial" w:eastAsia="Times New Roman" w:hAnsi="Arial" w:cs="Arial"/>
          <w:sz w:val="22"/>
          <w:lang w:eastAsia="de-DE"/>
        </w:rPr>
        <w:t>8</w:t>
      </w:r>
      <w:r w:rsidRPr="00EB0BE9">
        <w:rPr>
          <w:rFonts w:ascii="Arial" w:eastAsia="Times New Roman" w:hAnsi="Arial" w:cs="Arial"/>
          <w:sz w:val="22"/>
          <w:lang w:eastAsia="de-DE"/>
        </w:rPr>
        <w:t xml:space="preserve"> Mio. Euro (201</w:t>
      </w:r>
      <w:r w:rsidR="00680D93">
        <w:rPr>
          <w:rFonts w:ascii="Arial" w:eastAsia="Times New Roman" w:hAnsi="Arial" w:cs="Arial"/>
          <w:sz w:val="22"/>
          <w:lang w:eastAsia="de-DE"/>
        </w:rPr>
        <w:t>8</w:t>
      </w:r>
      <w:r w:rsidRPr="00EB0BE9">
        <w:rPr>
          <w:rFonts w:ascii="Arial" w:eastAsia="Times New Roman" w:hAnsi="Arial" w:cs="Arial"/>
          <w:sz w:val="22"/>
          <w:lang w:eastAsia="de-DE"/>
        </w:rPr>
        <w:t xml:space="preserve">: </w:t>
      </w:r>
      <w:r w:rsidR="00075DA1">
        <w:rPr>
          <w:rFonts w:ascii="Arial" w:eastAsia="Times New Roman" w:hAnsi="Arial" w:cs="Arial"/>
          <w:sz w:val="22"/>
          <w:lang w:eastAsia="de-DE"/>
        </w:rPr>
        <w:t>411,2</w:t>
      </w:r>
      <w:r w:rsidRPr="00EB0BE9">
        <w:rPr>
          <w:rFonts w:ascii="Arial" w:eastAsia="Times New Roman" w:hAnsi="Arial" w:cs="Arial"/>
          <w:sz w:val="22"/>
          <w:lang w:eastAsia="de-DE"/>
        </w:rPr>
        <w:t xml:space="preserve"> Mio. Euro, 201</w:t>
      </w:r>
      <w:r w:rsidR="00075DA1">
        <w:rPr>
          <w:rFonts w:ascii="Arial" w:eastAsia="Times New Roman" w:hAnsi="Arial" w:cs="Arial"/>
          <w:sz w:val="22"/>
          <w:lang w:eastAsia="de-DE"/>
        </w:rPr>
        <w:t>7</w:t>
      </w:r>
      <w:r w:rsidRPr="00EB0BE9">
        <w:rPr>
          <w:rFonts w:ascii="Arial" w:eastAsia="Times New Roman" w:hAnsi="Arial" w:cs="Arial"/>
          <w:sz w:val="22"/>
          <w:lang w:eastAsia="de-DE"/>
        </w:rPr>
        <w:t>: 3</w:t>
      </w:r>
      <w:r w:rsidR="00075DA1">
        <w:rPr>
          <w:rFonts w:ascii="Arial" w:eastAsia="Times New Roman" w:hAnsi="Arial" w:cs="Arial"/>
          <w:sz w:val="22"/>
          <w:lang w:eastAsia="de-DE"/>
        </w:rPr>
        <w:t>97</w:t>
      </w:r>
      <w:r w:rsidRPr="00EB0BE9">
        <w:rPr>
          <w:rFonts w:ascii="Arial" w:eastAsia="Times New Roman" w:hAnsi="Arial" w:cs="Arial"/>
          <w:sz w:val="22"/>
          <w:lang w:eastAsia="de-DE"/>
        </w:rPr>
        <w:t xml:space="preserve"> Mio. Euro). Damit hat die Investitionstätigkeit weiter zugenommen.</w:t>
      </w:r>
      <w:r>
        <w:rPr>
          <w:rFonts w:ascii="Arial" w:eastAsia="Times New Roman" w:hAnsi="Arial" w:cs="Arial"/>
          <w:sz w:val="22"/>
          <w:lang w:eastAsia="de-DE"/>
        </w:rPr>
        <w:t xml:space="preserve"> </w:t>
      </w:r>
      <w:r w:rsidRPr="00EB0BE9">
        <w:rPr>
          <w:rFonts w:ascii="Arial" w:eastAsia="Times New Roman" w:hAnsi="Arial" w:cs="Arial"/>
          <w:sz w:val="22"/>
          <w:lang w:eastAsia="de-DE"/>
        </w:rPr>
        <w:t>Die Aufwendungen für Instandhaltung/-setzung lagen im Jahr 201</w:t>
      </w:r>
      <w:r w:rsidR="00075DA1">
        <w:rPr>
          <w:rFonts w:ascii="Arial" w:eastAsia="Times New Roman" w:hAnsi="Arial" w:cs="Arial"/>
          <w:sz w:val="22"/>
          <w:lang w:eastAsia="de-DE"/>
        </w:rPr>
        <w:t>9</w:t>
      </w:r>
      <w:r w:rsidRPr="00EB0BE9">
        <w:rPr>
          <w:rFonts w:ascii="Arial" w:eastAsia="Times New Roman" w:hAnsi="Arial" w:cs="Arial"/>
          <w:sz w:val="22"/>
          <w:lang w:eastAsia="de-DE"/>
        </w:rPr>
        <w:t xml:space="preserve"> mit 20</w:t>
      </w:r>
      <w:r w:rsidR="00075DA1">
        <w:rPr>
          <w:rFonts w:ascii="Arial" w:eastAsia="Times New Roman" w:hAnsi="Arial" w:cs="Arial"/>
          <w:sz w:val="22"/>
          <w:lang w:eastAsia="de-DE"/>
        </w:rPr>
        <w:t>2,</w:t>
      </w:r>
      <w:r w:rsidR="006E7BB6">
        <w:rPr>
          <w:rFonts w:ascii="Arial" w:eastAsia="Times New Roman" w:hAnsi="Arial" w:cs="Arial"/>
          <w:sz w:val="22"/>
          <w:lang w:eastAsia="de-DE"/>
        </w:rPr>
        <w:t>6</w:t>
      </w:r>
      <w:r w:rsidRPr="00EB0BE9">
        <w:rPr>
          <w:rFonts w:ascii="Arial" w:eastAsia="Times New Roman" w:hAnsi="Arial" w:cs="Arial"/>
          <w:sz w:val="22"/>
          <w:lang w:eastAsia="de-DE"/>
        </w:rPr>
        <w:t xml:space="preserve"> Mio. Euro </w:t>
      </w:r>
      <w:r w:rsidR="00075DA1">
        <w:rPr>
          <w:rFonts w:ascii="Arial" w:eastAsia="Times New Roman" w:hAnsi="Arial" w:cs="Arial"/>
          <w:sz w:val="22"/>
          <w:lang w:eastAsia="de-DE"/>
        </w:rPr>
        <w:t>etwas unter dem</w:t>
      </w:r>
      <w:r w:rsidRPr="00EB0BE9">
        <w:rPr>
          <w:rFonts w:ascii="Arial" w:eastAsia="Times New Roman" w:hAnsi="Arial" w:cs="Arial"/>
          <w:sz w:val="22"/>
          <w:lang w:eastAsia="de-DE"/>
        </w:rPr>
        <w:t xml:space="preserve"> Niveau des Jahres 201</w:t>
      </w:r>
      <w:r w:rsidR="00075DA1">
        <w:rPr>
          <w:rFonts w:ascii="Arial" w:eastAsia="Times New Roman" w:hAnsi="Arial" w:cs="Arial"/>
          <w:sz w:val="22"/>
          <w:lang w:eastAsia="de-DE"/>
        </w:rPr>
        <w:t>8</w:t>
      </w:r>
      <w:r w:rsidRPr="00EB0BE9">
        <w:rPr>
          <w:rFonts w:ascii="Arial" w:eastAsia="Times New Roman" w:hAnsi="Arial" w:cs="Arial"/>
          <w:sz w:val="22"/>
          <w:lang w:eastAsia="de-DE"/>
        </w:rPr>
        <w:t xml:space="preserve"> mit </w:t>
      </w:r>
      <w:r w:rsidR="00075DA1">
        <w:rPr>
          <w:rFonts w:ascii="Arial" w:eastAsia="Times New Roman" w:hAnsi="Arial" w:cs="Arial"/>
          <w:sz w:val="22"/>
          <w:lang w:eastAsia="de-DE"/>
        </w:rPr>
        <w:t>207,3</w:t>
      </w:r>
      <w:r w:rsidRPr="00EB0BE9">
        <w:rPr>
          <w:rFonts w:ascii="Arial" w:eastAsia="Times New Roman" w:hAnsi="Arial" w:cs="Arial"/>
          <w:sz w:val="22"/>
          <w:lang w:eastAsia="de-DE"/>
        </w:rPr>
        <w:t xml:space="preserve"> Mio. Euro. </w:t>
      </w:r>
      <w:r w:rsidR="00075DA1">
        <w:rPr>
          <w:rFonts w:ascii="Arial" w:eastAsia="Times New Roman" w:hAnsi="Arial" w:cs="Arial"/>
          <w:sz w:val="22"/>
          <w:lang w:eastAsia="de-DE"/>
        </w:rPr>
        <w:t>Auf der anderen Seite stiegen in 2019 die Aufwendu</w:t>
      </w:r>
      <w:r w:rsidR="00075DA1">
        <w:rPr>
          <w:rFonts w:ascii="Arial" w:eastAsia="Times New Roman" w:hAnsi="Arial" w:cs="Arial"/>
          <w:sz w:val="22"/>
          <w:lang w:eastAsia="de-DE"/>
        </w:rPr>
        <w:t>n</w:t>
      </w:r>
      <w:r w:rsidR="00075DA1">
        <w:rPr>
          <w:rFonts w:ascii="Arial" w:eastAsia="Times New Roman" w:hAnsi="Arial" w:cs="Arial"/>
          <w:sz w:val="22"/>
          <w:lang w:eastAsia="de-DE"/>
        </w:rPr>
        <w:t>gen für Modernisierung erheblich auf 142,</w:t>
      </w:r>
      <w:r w:rsidR="006E7BB6">
        <w:rPr>
          <w:rFonts w:ascii="Arial" w:eastAsia="Times New Roman" w:hAnsi="Arial" w:cs="Arial"/>
          <w:sz w:val="22"/>
          <w:lang w:eastAsia="de-DE"/>
        </w:rPr>
        <w:t>8</w:t>
      </w:r>
      <w:r w:rsidR="00075DA1">
        <w:rPr>
          <w:rFonts w:ascii="Arial" w:eastAsia="Times New Roman" w:hAnsi="Arial" w:cs="Arial"/>
          <w:sz w:val="22"/>
          <w:lang w:eastAsia="de-DE"/>
        </w:rPr>
        <w:t xml:space="preserve"> Mio. Euro (</w:t>
      </w:r>
      <w:r w:rsidR="00075DA1" w:rsidRPr="00EB0BE9">
        <w:rPr>
          <w:rFonts w:ascii="Arial" w:eastAsia="Times New Roman" w:hAnsi="Arial" w:cs="Arial"/>
          <w:sz w:val="22"/>
          <w:lang w:eastAsia="de-DE"/>
        </w:rPr>
        <w:t>2018</w:t>
      </w:r>
      <w:r w:rsidR="00075DA1">
        <w:rPr>
          <w:rFonts w:ascii="Arial" w:eastAsia="Times New Roman" w:hAnsi="Arial" w:cs="Arial"/>
          <w:sz w:val="22"/>
          <w:lang w:eastAsia="de-DE"/>
        </w:rPr>
        <w:t>:</w:t>
      </w:r>
      <w:r w:rsidR="00075DA1" w:rsidRPr="00EB0BE9">
        <w:rPr>
          <w:rFonts w:ascii="Arial" w:eastAsia="Times New Roman" w:hAnsi="Arial" w:cs="Arial"/>
          <w:sz w:val="22"/>
          <w:lang w:eastAsia="de-DE"/>
        </w:rPr>
        <w:t xml:space="preserve"> 132,3 Mio. Euro</w:t>
      </w:r>
      <w:r w:rsidR="00075DA1">
        <w:rPr>
          <w:rFonts w:ascii="Arial" w:eastAsia="Times New Roman" w:hAnsi="Arial" w:cs="Arial"/>
          <w:sz w:val="22"/>
          <w:lang w:eastAsia="de-DE"/>
        </w:rPr>
        <w:t xml:space="preserve">, </w:t>
      </w:r>
      <w:r w:rsidR="00075DA1" w:rsidRPr="00EB0BE9">
        <w:rPr>
          <w:rFonts w:ascii="Arial" w:eastAsia="Times New Roman" w:hAnsi="Arial" w:cs="Arial"/>
          <w:sz w:val="22"/>
          <w:lang w:eastAsia="de-DE"/>
        </w:rPr>
        <w:t>2017</w:t>
      </w:r>
      <w:r w:rsidR="00075DA1">
        <w:rPr>
          <w:rFonts w:ascii="Arial" w:eastAsia="Times New Roman" w:hAnsi="Arial" w:cs="Arial"/>
          <w:sz w:val="22"/>
          <w:lang w:eastAsia="de-DE"/>
        </w:rPr>
        <w:t>:</w:t>
      </w:r>
      <w:r w:rsidR="00075DA1" w:rsidRPr="00EB0BE9">
        <w:rPr>
          <w:rFonts w:ascii="Arial" w:eastAsia="Times New Roman" w:hAnsi="Arial" w:cs="Arial"/>
          <w:sz w:val="22"/>
          <w:lang w:eastAsia="de-DE"/>
        </w:rPr>
        <w:t xml:space="preserve"> 134 Mio. Euro.</w:t>
      </w:r>
    </w:p>
    <w:p w:rsidR="00075DA1" w:rsidRDefault="00075DA1" w:rsidP="00075DA1">
      <w:pPr>
        <w:autoSpaceDE w:val="0"/>
        <w:autoSpaceDN w:val="0"/>
        <w:adjustRightInd w:val="0"/>
        <w:jc w:val="both"/>
        <w:rPr>
          <w:rFonts w:ascii="Arial" w:eastAsia="Times New Roman" w:hAnsi="Arial" w:cs="Arial"/>
          <w:sz w:val="22"/>
          <w:lang w:eastAsia="de-DE"/>
        </w:rPr>
      </w:pPr>
    </w:p>
    <w:p w:rsidR="00C3040A" w:rsidRDefault="00BB60C0" w:rsidP="00C3040A">
      <w:pPr>
        <w:autoSpaceDE w:val="0"/>
        <w:autoSpaceDN w:val="0"/>
        <w:adjustRightInd w:val="0"/>
        <w:jc w:val="both"/>
        <w:rPr>
          <w:rFonts w:ascii="Arial" w:eastAsia="Times New Roman" w:hAnsi="Arial" w:cs="Arial"/>
          <w:sz w:val="22"/>
          <w:lang w:eastAsia="de-DE"/>
        </w:rPr>
      </w:pPr>
      <w:r w:rsidRPr="00EB0BE9">
        <w:rPr>
          <w:rFonts w:ascii="Arial" w:eastAsia="Times New Roman" w:hAnsi="Arial" w:cs="Arial"/>
          <w:sz w:val="22"/>
          <w:lang w:eastAsia="de-DE"/>
        </w:rPr>
        <w:lastRenderedPageBreak/>
        <w:t xml:space="preserve">Setzt man die Aufwendungen für Instandhaltung/-setzung in Relation zur Wohnfläche der eigenen Wohnungen der Unternehmen, zeigt sich </w:t>
      </w:r>
      <w:r w:rsidR="00C3040A">
        <w:rPr>
          <w:rFonts w:ascii="Arial" w:eastAsia="Times New Roman" w:hAnsi="Arial" w:cs="Arial"/>
          <w:sz w:val="22"/>
          <w:lang w:eastAsia="de-DE"/>
        </w:rPr>
        <w:t xml:space="preserve">bis 2018 mit 14,46 Euro/m² </w:t>
      </w:r>
      <w:r w:rsidRPr="00EB0BE9">
        <w:rPr>
          <w:rFonts w:ascii="Arial" w:eastAsia="Times New Roman" w:hAnsi="Arial" w:cs="Arial"/>
          <w:sz w:val="22"/>
          <w:lang w:eastAsia="de-DE"/>
        </w:rPr>
        <w:t>ein deutlicher Anstieg. 2005 wurden im Durchschnitt 7,17 Euro/m² im Jahr für Instandhaltungs-</w:t>
      </w:r>
      <w:r w:rsidR="006E7BB6">
        <w:rPr>
          <w:rFonts w:ascii="Arial" w:eastAsia="Times New Roman" w:hAnsi="Arial" w:cs="Arial"/>
          <w:sz w:val="22"/>
          <w:lang w:eastAsia="de-DE"/>
        </w:rPr>
        <w:t xml:space="preserve"> </w:t>
      </w:r>
      <w:r w:rsidRPr="00EB0BE9">
        <w:rPr>
          <w:rFonts w:ascii="Arial" w:eastAsia="Times New Roman" w:hAnsi="Arial" w:cs="Arial"/>
          <w:sz w:val="22"/>
          <w:lang w:eastAsia="de-DE"/>
        </w:rPr>
        <w:t>/</w:t>
      </w:r>
      <w:r w:rsidR="006E7BB6">
        <w:rPr>
          <w:rFonts w:ascii="Arial" w:eastAsia="Times New Roman" w:hAnsi="Arial" w:cs="Arial"/>
          <w:sz w:val="22"/>
          <w:lang w:eastAsia="de-DE"/>
        </w:rPr>
        <w:t xml:space="preserve"> </w:t>
      </w:r>
      <w:r w:rsidRPr="00EB0BE9">
        <w:rPr>
          <w:rFonts w:ascii="Arial" w:eastAsia="Times New Roman" w:hAnsi="Arial" w:cs="Arial"/>
          <w:sz w:val="22"/>
          <w:lang w:eastAsia="de-DE"/>
        </w:rPr>
        <w:t>Instan</w:t>
      </w:r>
      <w:r w:rsidRPr="00EB0BE9">
        <w:rPr>
          <w:rFonts w:ascii="Arial" w:eastAsia="Times New Roman" w:hAnsi="Arial" w:cs="Arial"/>
          <w:sz w:val="22"/>
          <w:lang w:eastAsia="de-DE"/>
        </w:rPr>
        <w:t>d</w:t>
      </w:r>
      <w:r w:rsidRPr="00EB0BE9">
        <w:rPr>
          <w:rFonts w:ascii="Arial" w:eastAsia="Times New Roman" w:hAnsi="Arial" w:cs="Arial"/>
          <w:sz w:val="22"/>
          <w:lang w:eastAsia="de-DE"/>
        </w:rPr>
        <w:t>setzungsmaßnahmen (nicht zu verwechseln mit der laufenden Instandhaltung, diese ist i.</w:t>
      </w:r>
      <w:r>
        <w:rPr>
          <w:rFonts w:ascii="Arial" w:eastAsia="Times New Roman" w:hAnsi="Arial" w:cs="Arial"/>
          <w:sz w:val="22"/>
          <w:lang w:eastAsia="de-DE"/>
        </w:rPr>
        <w:t xml:space="preserve"> </w:t>
      </w:r>
      <w:r w:rsidRPr="00EB0BE9">
        <w:rPr>
          <w:rFonts w:ascii="Arial" w:eastAsia="Times New Roman" w:hAnsi="Arial" w:cs="Arial"/>
          <w:sz w:val="22"/>
          <w:lang w:eastAsia="de-DE"/>
        </w:rPr>
        <w:t>d.</w:t>
      </w:r>
      <w:r>
        <w:rPr>
          <w:rFonts w:ascii="Arial" w:eastAsia="Times New Roman" w:hAnsi="Arial" w:cs="Arial"/>
          <w:sz w:val="22"/>
          <w:lang w:eastAsia="de-DE"/>
        </w:rPr>
        <w:t xml:space="preserve"> </w:t>
      </w:r>
      <w:r w:rsidRPr="00EB0BE9">
        <w:rPr>
          <w:rFonts w:ascii="Arial" w:eastAsia="Times New Roman" w:hAnsi="Arial" w:cs="Arial"/>
          <w:sz w:val="22"/>
          <w:lang w:eastAsia="de-DE"/>
        </w:rPr>
        <w:t xml:space="preserve">R. niedriger) aufgewendet. </w:t>
      </w:r>
      <w:r w:rsidR="00C3040A">
        <w:rPr>
          <w:rFonts w:ascii="Arial" w:eastAsia="Times New Roman" w:hAnsi="Arial" w:cs="Arial"/>
          <w:sz w:val="22"/>
          <w:lang w:eastAsia="de-DE"/>
        </w:rPr>
        <w:t>2019 erfolgte ein leichter Rückgang auf 14,1</w:t>
      </w:r>
      <w:r w:rsidR="006E7BB6">
        <w:rPr>
          <w:rFonts w:ascii="Arial" w:eastAsia="Times New Roman" w:hAnsi="Arial" w:cs="Arial"/>
          <w:sz w:val="22"/>
          <w:lang w:eastAsia="de-DE"/>
        </w:rPr>
        <w:t>4</w:t>
      </w:r>
      <w:r w:rsidR="00C3040A">
        <w:rPr>
          <w:rFonts w:ascii="Arial" w:eastAsia="Times New Roman" w:hAnsi="Arial" w:cs="Arial"/>
          <w:sz w:val="22"/>
          <w:lang w:eastAsia="de-DE"/>
        </w:rPr>
        <w:t xml:space="preserve"> Euro/m² bei e</w:t>
      </w:r>
      <w:r w:rsidR="00C3040A">
        <w:rPr>
          <w:rFonts w:ascii="Arial" w:eastAsia="Times New Roman" w:hAnsi="Arial" w:cs="Arial"/>
          <w:sz w:val="22"/>
          <w:lang w:eastAsia="de-DE"/>
        </w:rPr>
        <w:t>i</w:t>
      </w:r>
      <w:r w:rsidR="00C3040A">
        <w:rPr>
          <w:rFonts w:ascii="Arial" w:eastAsia="Times New Roman" w:hAnsi="Arial" w:cs="Arial"/>
          <w:sz w:val="22"/>
          <w:lang w:eastAsia="de-DE"/>
        </w:rPr>
        <w:t xml:space="preserve">nem gleichzeitigen Anstieg der Aufwendungen für Modernisierung. </w:t>
      </w:r>
    </w:p>
    <w:p w:rsidR="00BB60C0" w:rsidRPr="00EB0BE9" w:rsidRDefault="00BB60C0" w:rsidP="00BB60C0">
      <w:pPr>
        <w:jc w:val="both"/>
        <w:rPr>
          <w:rFonts w:ascii="Arial" w:eastAsia="Times New Roman" w:hAnsi="Arial" w:cs="Arial"/>
          <w:sz w:val="22"/>
          <w:lang w:eastAsia="de-DE"/>
        </w:rPr>
      </w:pPr>
    </w:p>
    <w:p w:rsidR="00BB60C0" w:rsidRPr="00EB0BE9" w:rsidRDefault="00BB60C0" w:rsidP="00BB60C0">
      <w:pPr>
        <w:jc w:val="both"/>
        <w:rPr>
          <w:rFonts w:ascii="Arial" w:eastAsia="Times New Roman" w:hAnsi="Arial" w:cs="Arial"/>
          <w:sz w:val="22"/>
          <w:lang w:eastAsia="de-DE"/>
        </w:rPr>
      </w:pPr>
      <w:r w:rsidRPr="00EB0BE9">
        <w:rPr>
          <w:rFonts w:ascii="Arial" w:eastAsia="Times New Roman" w:hAnsi="Arial" w:cs="Arial"/>
          <w:sz w:val="22"/>
          <w:lang w:eastAsia="de-DE"/>
        </w:rPr>
        <w:t>Die Investitionen im Bereich des Neubaus lagen 201</w:t>
      </w:r>
      <w:r w:rsidR="00C3040A">
        <w:rPr>
          <w:rFonts w:ascii="Arial" w:eastAsia="Times New Roman" w:hAnsi="Arial" w:cs="Arial"/>
          <w:sz w:val="22"/>
          <w:lang w:eastAsia="de-DE"/>
        </w:rPr>
        <w:t>9</w:t>
      </w:r>
      <w:r w:rsidRPr="00EB0BE9">
        <w:rPr>
          <w:rFonts w:ascii="Arial" w:eastAsia="Times New Roman" w:hAnsi="Arial" w:cs="Arial"/>
          <w:sz w:val="22"/>
          <w:lang w:eastAsia="de-DE"/>
        </w:rPr>
        <w:t xml:space="preserve"> mit 7</w:t>
      </w:r>
      <w:r w:rsidR="00C3040A">
        <w:rPr>
          <w:rFonts w:ascii="Arial" w:eastAsia="Times New Roman" w:hAnsi="Arial" w:cs="Arial"/>
          <w:sz w:val="22"/>
          <w:lang w:eastAsia="de-DE"/>
        </w:rPr>
        <w:t>4,4</w:t>
      </w:r>
      <w:r w:rsidRPr="00EB0BE9">
        <w:rPr>
          <w:rFonts w:ascii="Arial" w:eastAsia="Times New Roman" w:hAnsi="Arial" w:cs="Arial"/>
          <w:sz w:val="22"/>
          <w:lang w:eastAsia="de-DE"/>
        </w:rPr>
        <w:t xml:space="preserve"> Mio. Euro abermals unter den ursprünglichen Planungen. Eine Analyse der Fertigstellungszahlen und der Planung für 20</w:t>
      </w:r>
      <w:r w:rsidR="00C3040A">
        <w:rPr>
          <w:rFonts w:ascii="Arial" w:eastAsia="Times New Roman" w:hAnsi="Arial" w:cs="Arial"/>
          <w:sz w:val="22"/>
          <w:lang w:eastAsia="de-DE"/>
        </w:rPr>
        <w:t>20</w:t>
      </w:r>
      <w:r w:rsidRPr="00EB0BE9">
        <w:rPr>
          <w:rFonts w:ascii="Arial" w:eastAsia="Times New Roman" w:hAnsi="Arial" w:cs="Arial"/>
          <w:sz w:val="22"/>
          <w:lang w:eastAsia="de-DE"/>
        </w:rPr>
        <w:t xml:space="preserve"> legt - wie i</w:t>
      </w:r>
      <w:r w:rsidR="00C3040A">
        <w:rPr>
          <w:rFonts w:ascii="Arial" w:eastAsia="Times New Roman" w:hAnsi="Arial" w:cs="Arial"/>
          <w:sz w:val="22"/>
          <w:lang w:eastAsia="de-DE"/>
        </w:rPr>
        <w:t>n den vergangenen Jahren</w:t>
      </w:r>
      <w:r w:rsidRPr="00EB0BE9">
        <w:rPr>
          <w:rFonts w:ascii="Arial" w:eastAsia="Times New Roman" w:hAnsi="Arial" w:cs="Arial"/>
          <w:sz w:val="22"/>
          <w:lang w:eastAsia="de-DE"/>
        </w:rPr>
        <w:t xml:space="preserve"> - nahe, dass einige Bauvorhaben mehr Zeit in A</w:t>
      </w:r>
      <w:r w:rsidRPr="00EB0BE9">
        <w:rPr>
          <w:rFonts w:ascii="Arial" w:eastAsia="Times New Roman" w:hAnsi="Arial" w:cs="Arial"/>
          <w:sz w:val="22"/>
          <w:lang w:eastAsia="de-DE"/>
        </w:rPr>
        <w:t>n</w:t>
      </w:r>
      <w:r w:rsidRPr="00EB0BE9">
        <w:rPr>
          <w:rFonts w:ascii="Arial" w:eastAsia="Times New Roman" w:hAnsi="Arial" w:cs="Arial"/>
          <w:sz w:val="22"/>
          <w:lang w:eastAsia="de-DE"/>
        </w:rPr>
        <w:t>spruch genommen haben und teilweise auch verschoben wurden. Mehr als eine Ausschre</w:t>
      </w:r>
      <w:r w:rsidRPr="00EB0BE9">
        <w:rPr>
          <w:rFonts w:ascii="Arial" w:eastAsia="Times New Roman" w:hAnsi="Arial" w:cs="Arial"/>
          <w:sz w:val="22"/>
          <w:lang w:eastAsia="de-DE"/>
        </w:rPr>
        <w:t>i</w:t>
      </w:r>
      <w:r w:rsidRPr="00EB0BE9">
        <w:rPr>
          <w:rFonts w:ascii="Arial" w:eastAsia="Times New Roman" w:hAnsi="Arial" w:cs="Arial"/>
          <w:sz w:val="22"/>
          <w:lang w:eastAsia="de-DE"/>
        </w:rPr>
        <w:t>bung musste mangels Beteiligung von Baufirmen bzw. wegen deutlich höherer Kosten wi</w:t>
      </w:r>
      <w:r w:rsidRPr="00EB0BE9">
        <w:rPr>
          <w:rFonts w:ascii="Arial" w:eastAsia="Times New Roman" w:hAnsi="Arial" w:cs="Arial"/>
          <w:sz w:val="22"/>
          <w:lang w:eastAsia="de-DE"/>
        </w:rPr>
        <w:t>e</w:t>
      </w:r>
      <w:r w:rsidRPr="00EB0BE9">
        <w:rPr>
          <w:rFonts w:ascii="Arial" w:eastAsia="Times New Roman" w:hAnsi="Arial" w:cs="Arial"/>
          <w:sz w:val="22"/>
          <w:lang w:eastAsia="de-DE"/>
        </w:rPr>
        <w:t>derholt werden.</w:t>
      </w:r>
    </w:p>
    <w:p w:rsidR="00BB60C0" w:rsidRPr="00EB0BE9" w:rsidRDefault="00BB60C0" w:rsidP="00BB60C0">
      <w:pPr>
        <w:jc w:val="both"/>
        <w:rPr>
          <w:rFonts w:ascii="Arial" w:eastAsia="Times New Roman" w:hAnsi="Arial" w:cs="Arial"/>
          <w:sz w:val="22"/>
          <w:lang w:eastAsia="de-DE"/>
        </w:rPr>
      </w:pPr>
    </w:p>
    <w:p w:rsidR="00BB60C0" w:rsidRPr="00EB0BE9" w:rsidRDefault="00BB60C0" w:rsidP="00BB60C0">
      <w:pPr>
        <w:jc w:val="both"/>
        <w:rPr>
          <w:rFonts w:ascii="Arial" w:eastAsia="Times New Roman" w:hAnsi="Arial" w:cs="Arial"/>
          <w:sz w:val="22"/>
          <w:lang w:eastAsia="de-DE"/>
        </w:rPr>
      </w:pPr>
      <w:r w:rsidRPr="00EB0BE9">
        <w:rPr>
          <w:rFonts w:ascii="Arial" w:eastAsia="Times New Roman" w:hAnsi="Arial" w:cs="Arial"/>
          <w:sz w:val="22"/>
          <w:lang w:eastAsia="de-DE"/>
        </w:rPr>
        <w:t>Die durchschnittliche Nettokaltmiete der vermieteten Wohnungen betrug im Dezember 201</w:t>
      </w:r>
      <w:r w:rsidR="004454F1">
        <w:rPr>
          <w:rFonts w:ascii="Arial" w:eastAsia="Times New Roman" w:hAnsi="Arial" w:cs="Arial"/>
          <w:sz w:val="22"/>
          <w:lang w:eastAsia="de-DE"/>
        </w:rPr>
        <w:t>9</w:t>
      </w:r>
      <w:r w:rsidRPr="00EB0BE9">
        <w:rPr>
          <w:rFonts w:ascii="Arial" w:eastAsia="Times New Roman" w:hAnsi="Arial" w:cs="Arial"/>
          <w:sz w:val="22"/>
          <w:lang w:eastAsia="de-DE"/>
        </w:rPr>
        <w:t xml:space="preserve">  5,0</w:t>
      </w:r>
      <w:r w:rsidR="004454F1">
        <w:rPr>
          <w:rFonts w:ascii="Arial" w:eastAsia="Times New Roman" w:hAnsi="Arial" w:cs="Arial"/>
          <w:sz w:val="22"/>
          <w:lang w:eastAsia="de-DE"/>
        </w:rPr>
        <w:t>8</w:t>
      </w:r>
      <w:r w:rsidRPr="00EB0BE9">
        <w:rPr>
          <w:rFonts w:ascii="Arial" w:eastAsia="Times New Roman" w:hAnsi="Arial" w:cs="Arial"/>
          <w:sz w:val="22"/>
          <w:lang w:eastAsia="de-DE"/>
        </w:rPr>
        <w:t xml:space="preserve"> Euro/m² (Dezember 201</w:t>
      </w:r>
      <w:r w:rsidR="004454F1">
        <w:rPr>
          <w:rFonts w:ascii="Arial" w:eastAsia="Times New Roman" w:hAnsi="Arial" w:cs="Arial"/>
          <w:sz w:val="22"/>
          <w:lang w:eastAsia="de-DE"/>
        </w:rPr>
        <w:t>8</w:t>
      </w:r>
      <w:r w:rsidRPr="00EB0BE9">
        <w:rPr>
          <w:rFonts w:ascii="Arial" w:eastAsia="Times New Roman" w:hAnsi="Arial" w:cs="Arial"/>
          <w:sz w:val="22"/>
          <w:lang w:eastAsia="de-DE"/>
        </w:rPr>
        <w:t xml:space="preserve">: </w:t>
      </w:r>
      <w:r w:rsidR="004454F1">
        <w:rPr>
          <w:rFonts w:ascii="Arial" w:eastAsia="Times New Roman" w:hAnsi="Arial" w:cs="Arial"/>
          <w:sz w:val="22"/>
          <w:lang w:eastAsia="de-DE"/>
        </w:rPr>
        <w:t>5,01</w:t>
      </w:r>
      <w:r w:rsidRPr="00EB0BE9">
        <w:rPr>
          <w:rFonts w:ascii="Arial" w:eastAsia="Times New Roman" w:hAnsi="Arial" w:cs="Arial"/>
          <w:sz w:val="22"/>
          <w:lang w:eastAsia="de-DE"/>
        </w:rPr>
        <w:t xml:space="preserve"> Euro/m²). Der Anstieg liegt damit bei 1,</w:t>
      </w:r>
      <w:r w:rsidR="004454F1">
        <w:rPr>
          <w:rFonts w:ascii="Arial" w:eastAsia="Times New Roman" w:hAnsi="Arial" w:cs="Arial"/>
          <w:sz w:val="22"/>
          <w:lang w:eastAsia="de-DE"/>
        </w:rPr>
        <w:t>4</w:t>
      </w:r>
      <w:r w:rsidRPr="00EB0BE9">
        <w:rPr>
          <w:rFonts w:ascii="Arial" w:eastAsia="Times New Roman" w:hAnsi="Arial" w:cs="Arial"/>
          <w:sz w:val="22"/>
          <w:lang w:eastAsia="de-DE"/>
        </w:rPr>
        <w:t xml:space="preserve"> %. Von großer Bedeutung für die Mieter sind neben der Miete auch die Vorauszahlungen für kalte Betrieb</w:t>
      </w:r>
      <w:r w:rsidRPr="00EB0BE9">
        <w:rPr>
          <w:rFonts w:ascii="Arial" w:eastAsia="Times New Roman" w:hAnsi="Arial" w:cs="Arial"/>
          <w:sz w:val="22"/>
          <w:lang w:eastAsia="de-DE"/>
        </w:rPr>
        <w:t>s</w:t>
      </w:r>
      <w:r w:rsidRPr="00EB0BE9">
        <w:rPr>
          <w:rFonts w:ascii="Arial" w:eastAsia="Times New Roman" w:hAnsi="Arial" w:cs="Arial"/>
          <w:sz w:val="22"/>
          <w:lang w:eastAsia="de-DE"/>
        </w:rPr>
        <w:t>kosten sowie für Heizkosten. Im Wesentlichen handelt es sich hierbei zwar um einen durc</w:t>
      </w:r>
      <w:r w:rsidRPr="00EB0BE9">
        <w:rPr>
          <w:rFonts w:ascii="Arial" w:eastAsia="Times New Roman" w:hAnsi="Arial" w:cs="Arial"/>
          <w:sz w:val="22"/>
          <w:lang w:eastAsia="de-DE"/>
        </w:rPr>
        <w:t>h</w:t>
      </w:r>
      <w:r w:rsidRPr="00EB0BE9">
        <w:rPr>
          <w:rFonts w:ascii="Arial" w:eastAsia="Times New Roman" w:hAnsi="Arial" w:cs="Arial"/>
          <w:sz w:val="22"/>
          <w:lang w:eastAsia="de-DE"/>
        </w:rPr>
        <w:t>laufenden Posten, trotzdem werden die Höhe der einzelnen Betriebskosten und auch deren Summe intensiv von den Wohnungsunternehmen beobachtet. Für sie gilt das Wirtschaftlic</w:t>
      </w:r>
      <w:r w:rsidRPr="00EB0BE9">
        <w:rPr>
          <w:rFonts w:ascii="Arial" w:eastAsia="Times New Roman" w:hAnsi="Arial" w:cs="Arial"/>
          <w:sz w:val="22"/>
          <w:lang w:eastAsia="de-DE"/>
        </w:rPr>
        <w:t>h</w:t>
      </w:r>
      <w:r w:rsidRPr="00EB0BE9">
        <w:rPr>
          <w:rFonts w:ascii="Arial" w:eastAsia="Times New Roman" w:hAnsi="Arial" w:cs="Arial"/>
          <w:sz w:val="22"/>
          <w:lang w:eastAsia="de-DE"/>
        </w:rPr>
        <w:t>keitsgebot, d. h. den Aufwand für Betriebskosten so weit wie möglich zu reduzieren. Im D</w:t>
      </w:r>
      <w:r w:rsidRPr="00EB0BE9">
        <w:rPr>
          <w:rFonts w:ascii="Arial" w:eastAsia="Times New Roman" w:hAnsi="Arial" w:cs="Arial"/>
          <w:sz w:val="22"/>
          <w:lang w:eastAsia="de-DE"/>
        </w:rPr>
        <w:t>e</w:t>
      </w:r>
      <w:r w:rsidRPr="00EB0BE9">
        <w:rPr>
          <w:rFonts w:ascii="Arial" w:eastAsia="Times New Roman" w:hAnsi="Arial" w:cs="Arial"/>
          <w:sz w:val="22"/>
          <w:lang w:eastAsia="de-DE"/>
        </w:rPr>
        <w:t>zember des Jahres 201</w:t>
      </w:r>
      <w:r w:rsidR="004454F1">
        <w:rPr>
          <w:rFonts w:ascii="Arial" w:eastAsia="Times New Roman" w:hAnsi="Arial" w:cs="Arial"/>
          <w:sz w:val="22"/>
          <w:lang w:eastAsia="de-DE"/>
        </w:rPr>
        <w:t>9</w:t>
      </w:r>
      <w:r w:rsidRPr="00EB0BE9">
        <w:rPr>
          <w:rFonts w:ascii="Arial" w:eastAsia="Times New Roman" w:hAnsi="Arial" w:cs="Arial"/>
          <w:sz w:val="22"/>
          <w:lang w:eastAsia="de-DE"/>
        </w:rPr>
        <w:t xml:space="preserve"> betrugen die durchschnittlichen Vorauszahlungen für kalte B</w:t>
      </w:r>
      <w:r w:rsidRPr="00EB0BE9">
        <w:rPr>
          <w:rFonts w:ascii="Arial" w:eastAsia="Times New Roman" w:hAnsi="Arial" w:cs="Arial"/>
          <w:sz w:val="22"/>
          <w:lang w:eastAsia="de-DE"/>
        </w:rPr>
        <w:t>e</w:t>
      </w:r>
      <w:r w:rsidRPr="00EB0BE9">
        <w:rPr>
          <w:rFonts w:ascii="Arial" w:eastAsia="Times New Roman" w:hAnsi="Arial" w:cs="Arial"/>
          <w:sz w:val="22"/>
          <w:lang w:eastAsia="de-DE"/>
        </w:rPr>
        <w:t>triebskosten in den Mitgliedsunternehmen 1,1</w:t>
      </w:r>
      <w:r w:rsidR="004454F1">
        <w:rPr>
          <w:rFonts w:ascii="Arial" w:eastAsia="Times New Roman" w:hAnsi="Arial" w:cs="Arial"/>
          <w:sz w:val="22"/>
          <w:lang w:eastAsia="de-DE"/>
        </w:rPr>
        <w:t>9</w:t>
      </w:r>
      <w:r w:rsidRPr="00EB0BE9">
        <w:rPr>
          <w:rFonts w:ascii="Arial" w:eastAsia="Times New Roman" w:hAnsi="Arial" w:cs="Arial"/>
          <w:sz w:val="22"/>
          <w:lang w:eastAsia="de-DE"/>
        </w:rPr>
        <w:t xml:space="preserve"> Euro/m². Die Vorauszahlungen für warme Betriebskosten betrugen 1,09 Euro/m². </w:t>
      </w:r>
    </w:p>
    <w:p w:rsidR="00BB60C0" w:rsidRPr="00EB0BE9" w:rsidRDefault="00BB60C0" w:rsidP="00BB60C0">
      <w:pPr>
        <w:jc w:val="both"/>
        <w:rPr>
          <w:rFonts w:ascii="Arial" w:eastAsia="Times New Roman" w:hAnsi="Arial" w:cs="Arial"/>
          <w:sz w:val="22"/>
          <w:lang w:eastAsia="de-DE"/>
        </w:rPr>
      </w:pPr>
    </w:p>
    <w:p w:rsidR="004454F1" w:rsidRDefault="00BB60C0" w:rsidP="00BB60C0">
      <w:pPr>
        <w:jc w:val="both"/>
        <w:rPr>
          <w:rFonts w:ascii="Arial" w:eastAsia="Times New Roman" w:hAnsi="Arial" w:cs="Arial"/>
          <w:sz w:val="22"/>
          <w:lang w:eastAsia="de-DE"/>
        </w:rPr>
      </w:pPr>
      <w:r w:rsidRPr="00EB0BE9">
        <w:rPr>
          <w:rFonts w:ascii="Arial" w:eastAsia="Times New Roman" w:hAnsi="Arial" w:cs="Arial"/>
          <w:sz w:val="22"/>
          <w:lang w:eastAsia="de-DE"/>
        </w:rPr>
        <w:t xml:space="preserve">Die durchschnittliche Leerstandsquote der Mitgliedsunternehmen des vtw </w:t>
      </w:r>
      <w:r w:rsidR="008552A9">
        <w:rPr>
          <w:rFonts w:ascii="Arial" w:eastAsia="Times New Roman" w:hAnsi="Arial" w:cs="Arial"/>
          <w:sz w:val="22"/>
          <w:lang w:eastAsia="de-DE"/>
        </w:rPr>
        <w:t>ist</w:t>
      </w:r>
      <w:r w:rsidRPr="00EB0BE9">
        <w:rPr>
          <w:rFonts w:ascii="Arial" w:eastAsia="Times New Roman" w:hAnsi="Arial" w:cs="Arial"/>
          <w:sz w:val="22"/>
          <w:lang w:eastAsia="de-DE"/>
        </w:rPr>
        <w:t xml:space="preserve"> 201</w:t>
      </w:r>
      <w:r w:rsidR="004454F1">
        <w:rPr>
          <w:rFonts w:ascii="Arial" w:eastAsia="Times New Roman" w:hAnsi="Arial" w:cs="Arial"/>
          <w:sz w:val="22"/>
          <w:lang w:eastAsia="de-DE"/>
        </w:rPr>
        <w:t>9</w:t>
      </w:r>
      <w:r w:rsidRPr="00EB0BE9">
        <w:rPr>
          <w:rFonts w:ascii="Arial" w:eastAsia="Times New Roman" w:hAnsi="Arial" w:cs="Arial"/>
          <w:sz w:val="22"/>
          <w:lang w:eastAsia="de-DE"/>
        </w:rPr>
        <w:t xml:space="preserve"> mit 8,</w:t>
      </w:r>
      <w:r w:rsidR="004454F1">
        <w:rPr>
          <w:rFonts w:ascii="Arial" w:eastAsia="Times New Roman" w:hAnsi="Arial" w:cs="Arial"/>
          <w:sz w:val="22"/>
          <w:lang w:eastAsia="de-DE"/>
        </w:rPr>
        <w:t>4</w:t>
      </w:r>
      <w:r w:rsidRPr="00EB0BE9">
        <w:rPr>
          <w:rFonts w:ascii="Arial" w:eastAsia="Times New Roman" w:hAnsi="Arial" w:cs="Arial"/>
          <w:sz w:val="22"/>
          <w:lang w:eastAsia="de-DE"/>
        </w:rPr>
        <w:t xml:space="preserve"> % im Vergleich zu den Vorjahren </w:t>
      </w:r>
      <w:r w:rsidR="008552A9">
        <w:rPr>
          <w:rFonts w:ascii="Arial" w:eastAsia="Times New Roman" w:hAnsi="Arial" w:cs="Arial"/>
          <w:sz w:val="22"/>
          <w:lang w:eastAsia="de-DE"/>
        </w:rPr>
        <w:t>weiter angestiegen</w:t>
      </w:r>
      <w:r w:rsidRPr="00EB0BE9">
        <w:rPr>
          <w:rFonts w:ascii="Arial" w:eastAsia="Times New Roman" w:hAnsi="Arial" w:cs="Arial"/>
          <w:sz w:val="22"/>
          <w:lang w:eastAsia="de-DE"/>
        </w:rPr>
        <w:t xml:space="preserve">. </w:t>
      </w:r>
      <w:r w:rsidR="004454F1">
        <w:rPr>
          <w:rFonts w:ascii="Arial" w:eastAsia="Times New Roman" w:hAnsi="Arial" w:cs="Arial"/>
          <w:sz w:val="22"/>
          <w:lang w:eastAsia="de-DE"/>
        </w:rPr>
        <w:t>Auch absolut ist die Zahl</w:t>
      </w:r>
      <w:r w:rsidRPr="00EB0BE9">
        <w:rPr>
          <w:rFonts w:ascii="Arial" w:eastAsia="Times New Roman" w:hAnsi="Arial" w:cs="Arial"/>
          <w:sz w:val="22"/>
          <w:lang w:eastAsia="de-DE"/>
        </w:rPr>
        <w:t xml:space="preserve"> leer stehender Wohnungen </w:t>
      </w:r>
      <w:r w:rsidR="004454F1">
        <w:rPr>
          <w:rFonts w:ascii="Arial" w:eastAsia="Times New Roman" w:hAnsi="Arial" w:cs="Arial"/>
          <w:sz w:val="22"/>
          <w:lang w:eastAsia="de-DE"/>
        </w:rPr>
        <w:t>von</w:t>
      </w:r>
      <w:r w:rsidRPr="00EB0BE9">
        <w:rPr>
          <w:rFonts w:ascii="Arial" w:eastAsia="Times New Roman" w:hAnsi="Arial" w:cs="Arial"/>
          <w:sz w:val="22"/>
          <w:lang w:eastAsia="de-DE"/>
        </w:rPr>
        <w:t xml:space="preserve"> 21.650 </w:t>
      </w:r>
      <w:r w:rsidR="004454F1">
        <w:rPr>
          <w:rFonts w:ascii="Arial" w:eastAsia="Times New Roman" w:hAnsi="Arial" w:cs="Arial"/>
          <w:sz w:val="22"/>
          <w:lang w:eastAsia="de-DE"/>
        </w:rPr>
        <w:t xml:space="preserve">auf 22.100 </w:t>
      </w:r>
      <w:r w:rsidRPr="00EB0BE9">
        <w:rPr>
          <w:rFonts w:ascii="Arial" w:eastAsia="Times New Roman" w:hAnsi="Arial" w:cs="Arial"/>
          <w:sz w:val="22"/>
          <w:lang w:eastAsia="de-DE"/>
        </w:rPr>
        <w:t xml:space="preserve">Wohnungen </w:t>
      </w:r>
      <w:r w:rsidR="004454F1">
        <w:rPr>
          <w:rFonts w:ascii="Arial" w:eastAsia="Times New Roman" w:hAnsi="Arial" w:cs="Arial"/>
          <w:sz w:val="22"/>
          <w:lang w:eastAsia="de-DE"/>
        </w:rPr>
        <w:t>gewachsen</w:t>
      </w:r>
      <w:r w:rsidRPr="00EB0BE9">
        <w:rPr>
          <w:rFonts w:ascii="Arial" w:eastAsia="Times New Roman" w:hAnsi="Arial" w:cs="Arial"/>
          <w:sz w:val="22"/>
          <w:lang w:eastAsia="de-DE"/>
        </w:rPr>
        <w:t xml:space="preserve">. </w:t>
      </w:r>
      <w:r w:rsidR="008552A9">
        <w:rPr>
          <w:rFonts w:ascii="Arial" w:eastAsia="Times New Roman" w:hAnsi="Arial" w:cs="Arial"/>
          <w:sz w:val="22"/>
          <w:lang w:eastAsia="de-DE"/>
        </w:rPr>
        <w:t>Der Rückbau von 534 Wo</w:t>
      </w:r>
      <w:r w:rsidR="008552A9">
        <w:rPr>
          <w:rFonts w:ascii="Arial" w:eastAsia="Times New Roman" w:hAnsi="Arial" w:cs="Arial"/>
          <w:sz w:val="22"/>
          <w:lang w:eastAsia="de-DE"/>
        </w:rPr>
        <w:t>h</w:t>
      </w:r>
      <w:r w:rsidR="008552A9">
        <w:rPr>
          <w:rFonts w:ascii="Arial" w:eastAsia="Times New Roman" w:hAnsi="Arial" w:cs="Arial"/>
          <w:sz w:val="22"/>
          <w:lang w:eastAsia="de-DE"/>
        </w:rPr>
        <w:t xml:space="preserve">nungen in 2019 verhinderte einen noch stärkeren Anstieg des Leerstandes. </w:t>
      </w:r>
      <w:r w:rsidR="004454F1">
        <w:rPr>
          <w:rFonts w:ascii="Arial" w:eastAsia="Times New Roman" w:hAnsi="Arial" w:cs="Arial"/>
          <w:sz w:val="22"/>
          <w:lang w:eastAsia="de-DE"/>
        </w:rPr>
        <w:t>Nicht enthalten sind 1.150 Wohnungen, die zwischenzeitlich wegen mangelnder Nachfrage</w:t>
      </w:r>
      <w:r w:rsidR="008552A9">
        <w:rPr>
          <w:rFonts w:ascii="Arial" w:eastAsia="Times New Roman" w:hAnsi="Arial" w:cs="Arial"/>
          <w:sz w:val="22"/>
          <w:lang w:eastAsia="de-DE"/>
        </w:rPr>
        <w:t>, meist handelt es sich um die obersten Geschosse,</w:t>
      </w:r>
      <w:r w:rsidR="004454F1">
        <w:rPr>
          <w:rFonts w:ascii="Arial" w:eastAsia="Times New Roman" w:hAnsi="Arial" w:cs="Arial"/>
          <w:sz w:val="22"/>
          <w:lang w:eastAsia="de-DE"/>
        </w:rPr>
        <w:t xml:space="preserve"> stillgelegt wurden. Diese zählen nicht mehr zum Bestand und erscheinen auch nicht in der </w:t>
      </w:r>
      <w:r w:rsidR="008552A9">
        <w:rPr>
          <w:rFonts w:ascii="Arial" w:eastAsia="Times New Roman" w:hAnsi="Arial" w:cs="Arial"/>
          <w:sz w:val="22"/>
          <w:lang w:eastAsia="de-DE"/>
        </w:rPr>
        <w:t>Übersicht des Leerstandes</w:t>
      </w:r>
      <w:bookmarkStart w:id="0" w:name="_GoBack"/>
      <w:bookmarkEnd w:id="0"/>
      <w:r w:rsidR="004454F1">
        <w:rPr>
          <w:rFonts w:ascii="Arial" w:eastAsia="Times New Roman" w:hAnsi="Arial" w:cs="Arial"/>
          <w:sz w:val="22"/>
          <w:lang w:eastAsia="de-DE"/>
        </w:rPr>
        <w:t xml:space="preserve">. Würde man diese Wohnungen einbeziehen, </w:t>
      </w:r>
      <w:r w:rsidR="008552A9">
        <w:rPr>
          <w:rFonts w:ascii="Arial" w:eastAsia="Times New Roman" w:hAnsi="Arial" w:cs="Arial"/>
          <w:sz w:val="22"/>
          <w:lang w:eastAsia="de-DE"/>
        </w:rPr>
        <w:t xml:space="preserve">stiege </w:t>
      </w:r>
      <w:r w:rsidR="004454F1">
        <w:rPr>
          <w:rFonts w:ascii="Arial" w:eastAsia="Times New Roman" w:hAnsi="Arial" w:cs="Arial"/>
          <w:sz w:val="22"/>
          <w:lang w:eastAsia="de-DE"/>
        </w:rPr>
        <w:t>die Leerstandsquote auf 8,7 %.</w:t>
      </w:r>
    </w:p>
    <w:p w:rsidR="004454F1" w:rsidRDefault="004454F1" w:rsidP="00BB60C0">
      <w:pPr>
        <w:jc w:val="both"/>
        <w:rPr>
          <w:rFonts w:ascii="Arial" w:eastAsia="Times New Roman" w:hAnsi="Arial" w:cs="Arial"/>
          <w:sz w:val="22"/>
          <w:lang w:eastAsia="de-DE"/>
        </w:rPr>
      </w:pPr>
    </w:p>
    <w:p w:rsidR="00BB60C0" w:rsidRPr="00EB0BE9" w:rsidRDefault="00BB60C0" w:rsidP="00BB60C0">
      <w:pPr>
        <w:jc w:val="both"/>
        <w:rPr>
          <w:rFonts w:ascii="Arial" w:eastAsia="Times New Roman" w:hAnsi="Arial" w:cs="Arial"/>
          <w:sz w:val="22"/>
          <w:lang w:eastAsia="de-DE"/>
        </w:rPr>
      </w:pPr>
      <w:r w:rsidRPr="00EB0BE9">
        <w:rPr>
          <w:rFonts w:ascii="Arial" w:eastAsia="Times New Roman" w:hAnsi="Arial" w:cs="Arial"/>
          <w:sz w:val="22"/>
          <w:lang w:eastAsia="de-DE"/>
        </w:rPr>
        <w:t>Hauptgrund des Leerstandes ist nach wie vor die mangelnde Nachfrage nach Wohnraum mit einem Anteil von 3</w:t>
      </w:r>
      <w:r w:rsidR="009471F9">
        <w:rPr>
          <w:rFonts w:ascii="Arial" w:eastAsia="Times New Roman" w:hAnsi="Arial" w:cs="Arial"/>
          <w:sz w:val="22"/>
          <w:lang w:eastAsia="de-DE"/>
        </w:rPr>
        <w:t>7</w:t>
      </w:r>
      <w:r w:rsidRPr="00EB0BE9">
        <w:rPr>
          <w:rFonts w:ascii="Arial" w:eastAsia="Times New Roman" w:hAnsi="Arial" w:cs="Arial"/>
          <w:sz w:val="22"/>
          <w:lang w:eastAsia="de-DE"/>
        </w:rPr>
        <w:t xml:space="preserve"> %. Wegen Mieterwechsel stehen 2</w:t>
      </w:r>
      <w:r w:rsidR="009471F9">
        <w:rPr>
          <w:rFonts w:ascii="Arial" w:eastAsia="Times New Roman" w:hAnsi="Arial" w:cs="Arial"/>
          <w:sz w:val="22"/>
          <w:lang w:eastAsia="de-DE"/>
        </w:rPr>
        <w:t>2</w:t>
      </w:r>
      <w:r w:rsidRPr="00EB0BE9">
        <w:rPr>
          <w:rFonts w:ascii="Arial" w:eastAsia="Times New Roman" w:hAnsi="Arial" w:cs="Arial"/>
          <w:sz w:val="22"/>
          <w:lang w:eastAsia="de-DE"/>
        </w:rPr>
        <w:t xml:space="preserve"> % und aufgrund von Modernisi</w:t>
      </w:r>
      <w:r w:rsidRPr="00EB0BE9">
        <w:rPr>
          <w:rFonts w:ascii="Arial" w:eastAsia="Times New Roman" w:hAnsi="Arial" w:cs="Arial"/>
          <w:sz w:val="22"/>
          <w:lang w:eastAsia="de-DE"/>
        </w:rPr>
        <w:t>e</w:t>
      </w:r>
      <w:r w:rsidRPr="00EB0BE9">
        <w:rPr>
          <w:rFonts w:ascii="Arial" w:eastAsia="Times New Roman" w:hAnsi="Arial" w:cs="Arial"/>
          <w:sz w:val="22"/>
          <w:lang w:eastAsia="de-DE"/>
        </w:rPr>
        <w:t>rungsmaßnahmen 1</w:t>
      </w:r>
      <w:r w:rsidR="009471F9">
        <w:rPr>
          <w:rFonts w:ascii="Arial" w:eastAsia="Times New Roman" w:hAnsi="Arial" w:cs="Arial"/>
          <w:sz w:val="22"/>
          <w:lang w:eastAsia="de-DE"/>
        </w:rPr>
        <w:t>9</w:t>
      </w:r>
      <w:r w:rsidRPr="00EB0BE9">
        <w:rPr>
          <w:rFonts w:ascii="Arial" w:eastAsia="Times New Roman" w:hAnsi="Arial" w:cs="Arial"/>
          <w:sz w:val="22"/>
          <w:lang w:eastAsia="de-DE"/>
        </w:rPr>
        <w:t xml:space="preserve"> % leer. Unbewohnbare Wohnungen haben einen Anteil am Leerstand von 7 %, wegen geplantem Rückbau stehen 1</w:t>
      </w:r>
      <w:r w:rsidR="009471F9">
        <w:rPr>
          <w:rFonts w:ascii="Arial" w:eastAsia="Times New Roman" w:hAnsi="Arial" w:cs="Arial"/>
          <w:sz w:val="22"/>
          <w:lang w:eastAsia="de-DE"/>
        </w:rPr>
        <w:t>2</w:t>
      </w:r>
      <w:r w:rsidRPr="00EB0BE9">
        <w:rPr>
          <w:rFonts w:ascii="Arial" w:eastAsia="Times New Roman" w:hAnsi="Arial" w:cs="Arial"/>
          <w:sz w:val="22"/>
          <w:lang w:eastAsia="de-DE"/>
        </w:rPr>
        <w:t xml:space="preserve"> % leer. Seit dem Jahr 2002 haben Thüringer Wohnungsunternehmen 4</w:t>
      </w:r>
      <w:r w:rsidR="009471F9">
        <w:rPr>
          <w:rFonts w:ascii="Arial" w:eastAsia="Times New Roman" w:hAnsi="Arial" w:cs="Arial"/>
          <w:sz w:val="22"/>
          <w:lang w:eastAsia="de-DE"/>
        </w:rPr>
        <w:t>7.300</w:t>
      </w:r>
      <w:r w:rsidRPr="00EB0BE9">
        <w:rPr>
          <w:rFonts w:ascii="Arial" w:eastAsia="Times New Roman" w:hAnsi="Arial" w:cs="Arial"/>
          <w:sz w:val="22"/>
          <w:lang w:eastAsia="de-DE"/>
        </w:rPr>
        <w:t xml:space="preserve"> Wohnungen vom Markt genommen. Nachdem die Rückba</w:t>
      </w:r>
      <w:r w:rsidRPr="00EB0BE9">
        <w:rPr>
          <w:rFonts w:ascii="Arial" w:eastAsia="Times New Roman" w:hAnsi="Arial" w:cs="Arial"/>
          <w:sz w:val="22"/>
          <w:lang w:eastAsia="de-DE"/>
        </w:rPr>
        <w:t>u</w:t>
      </w:r>
      <w:r w:rsidRPr="00EB0BE9">
        <w:rPr>
          <w:rFonts w:ascii="Arial" w:eastAsia="Times New Roman" w:hAnsi="Arial" w:cs="Arial"/>
          <w:sz w:val="22"/>
          <w:lang w:eastAsia="de-DE"/>
        </w:rPr>
        <w:t>zahlen im Jahr 2014 mit 362 und im Jahr 2015 mit 331 Wohnungen deutlich zurückgingen, war 2016 mit 525 und 2017 mit 746 rückgebauten Wohnungen wieder ein deutlicher Anstieg zu verzeichnen. In 2018 sank die Zahl der Rückbauten auf 452 Wohnungen</w:t>
      </w:r>
      <w:r w:rsidR="009471F9">
        <w:rPr>
          <w:rFonts w:ascii="Arial" w:eastAsia="Times New Roman" w:hAnsi="Arial" w:cs="Arial"/>
          <w:sz w:val="22"/>
          <w:lang w:eastAsia="de-DE"/>
        </w:rPr>
        <w:t>, um 2019 auf 534 Wohnungen anzusteigen.</w:t>
      </w:r>
    </w:p>
    <w:p w:rsidR="00BB60C0" w:rsidRPr="00F42DC9" w:rsidRDefault="00BB60C0" w:rsidP="00BB60C0">
      <w:pPr>
        <w:jc w:val="both"/>
        <w:rPr>
          <w:rFonts w:ascii="Arial" w:eastAsia="Times New Roman" w:hAnsi="Arial" w:cs="Arial"/>
          <w:i/>
          <w:sz w:val="22"/>
          <w:lang w:eastAsia="de-DE"/>
        </w:rPr>
      </w:pPr>
    </w:p>
    <w:p w:rsidR="00BB60C0" w:rsidRPr="00333D36" w:rsidRDefault="00BB60C0" w:rsidP="00BB60C0">
      <w:pPr>
        <w:jc w:val="both"/>
        <w:rPr>
          <w:rFonts w:ascii="Arial" w:eastAsia="Times New Roman" w:hAnsi="Arial" w:cs="Arial"/>
          <w:b/>
          <w:i/>
          <w:sz w:val="22"/>
          <w:lang w:eastAsia="de-DE"/>
        </w:rPr>
      </w:pPr>
      <w:r w:rsidRPr="00333D36">
        <w:rPr>
          <w:rFonts w:ascii="Arial" w:eastAsia="Times New Roman" w:hAnsi="Arial" w:cs="Arial"/>
          <w:b/>
          <w:i/>
          <w:sz w:val="22"/>
          <w:lang w:eastAsia="de-DE"/>
        </w:rPr>
        <w:t>Betriebswirtschaftliche Branchenentwicklung</w:t>
      </w:r>
    </w:p>
    <w:p w:rsidR="00BB60C0" w:rsidRPr="00EB0BE9" w:rsidRDefault="00BB60C0" w:rsidP="00BB60C0">
      <w:pPr>
        <w:jc w:val="both"/>
        <w:rPr>
          <w:rFonts w:ascii="Arial" w:eastAsia="Times New Roman" w:hAnsi="Arial" w:cs="Arial"/>
          <w:sz w:val="22"/>
          <w:lang w:eastAsia="de-DE"/>
        </w:rPr>
      </w:pPr>
    </w:p>
    <w:p w:rsidR="00BB60C0" w:rsidRPr="00EB0BE9" w:rsidRDefault="00BB60C0" w:rsidP="00BB60C0">
      <w:pPr>
        <w:jc w:val="both"/>
        <w:rPr>
          <w:rFonts w:ascii="Arial" w:hAnsi="Arial" w:cs="Arial"/>
          <w:sz w:val="22"/>
        </w:rPr>
      </w:pPr>
      <w:r w:rsidRPr="00EB0BE9">
        <w:rPr>
          <w:rFonts w:ascii="Arial" w:hAnsi="Arial" w:cs="Arial"/>
          <w:sz w:val="22"/>
        </w:rPr>
        <w:t>Wesentliche Bestandteile der Umsatzerlöse aus der Hausbewirtschaftung sind Mieten und Umlagen. Die mittlere monatliche Sollmiete (Median) der erfassten Unternehmen betrug im Jahr 2018 4,78 Euro/m² (2017: 4,71 Euro/m²). Die mittlere Sollmiete der eigenen Wohnu</w:t>
      </w:r>
      <w:r w:rsidRPr="00EB0BE9">
        <w:rPr>
          <w:rFonts w:ascii="Arial" w:hAnsi="Arial" w:cs="Arial"/>
          <w:sz w:val="22"/>
        </w:rPr>
        <w:t>n</w:t>
      </w:r>
      <w:r w:rsidRPr="00EB0BE9">
        <w:rPr>
          <w:rFonts w:ascii="Arial" w:hAnsi="Arial" w:cs="Arial"/>
          <w:sz w:val="22"/>
        </w:rPr>
        <w:t>gen belief sich auf 4,71 Euro/m². Der arithmetische Mittelwert lag bei 4,75 Euro/m². Im Ve</w:t>
      </w:r>
      <w:r w:rsidRPr="00EB0BE9">
        <w:rPr>
          <w:rFonts w:ascii="Arial" w:hAnsi="Arial" w:cs="Arial"/>
          <w:sz w:val="22"/>
        </w:rPr>
        <w:t>r</w:t>
      </w:r>
      <w:r w:rsidRPr="00EB0BE9">
        <w:rPr>
          <w:rFonts w:ascii="Arial" w:hAnsi="Arial" w:cs="Arial"/>
          <w:sz w:val="22"/>
        </w:rPr>
        <w:t>gleich zum Vorjahr ist somit ein Anstieg um 1,7 % zu verzeichnen. Die Durchschnittswerte der einzelnen Unternehmen reichten von 3,54 Euro/m² bis 6,27 Euro/m².</w:t>
      </w:r>
    </w:p>
    <w:p w:rsidR="00BB60C0" w:rsidRPr="00C61A29" w:rsidRDefault="00BB60C0" w:rsidP="00BB60C0">
      <w:pPr>
        <w:jc w:val="both"/>
        <w:rPr>
          <w:rFonts w:ascii="Arial" w:eastAsia="Times New Roman" w:hAnsi="Arial" w:cs="Arial"/>
          <w:sz w:val="22"/>
          <w:lang w:eastAsia="de-DE"/>
        </w:rPr>
      </w:pPr>
    </w:p>
    <w:p w:rsidR="00BB60C0" w:rsidRDefault="00BB60C0" w:rsidP="00B740B3">
      <w:pPr>
        <w:jc w:val="both"/>
        <w:rPr>
          <w:rFonts w:ascii="Arial" w:hAnsi="Arial" w:cs="Arial"/>
          <w:sz w:val="22"/>
        </w:rPr>
      </w:pPr>
      <w:r w:rsidRPr="00C61A29">
        <w:rPr>
          <w:rFonts w:ascii="Arial" w:hAnsi="Arial" w:cs="Arial"/>
          <w:sz w:val="22"/>
        </w:rPr>
        <w:t>Der Median der Leerstandsquote lag 2018 bei 5,7 % und damit unter dem Wert des Jahres 2017 (6,3 %). Der arithmetische Mittelwert hat sich nicht verändert und l</w:t>
      </w:r>
      <w:r>
        <w:rPr>
          <w:rFonts w:ascii="Arial" w:hAnsi="Arial" w:cs="Arial"/>
          <w:sz w:val="22"/>
        </w:rPr>
        <w:t>ag</w:t>
      </w:r>
      <w:r w:rsidRPr="00C61A29">
        <w:rPr>
          <w:rFonts w:ascii="Arial" w:hAnsi="Arial" w:cs="Arial"/>
          <w:sz w:val="22"/>
        </w:rPr>
        <w:t xml:space="preserve"> 2018 wie in 2017 bei 7,6 %. </w:t>
      </w:r>
      <w:r>
        <w:rPr>
          <w:rFonts w:ascii="Arial" w:hAnsi="Arial" w:cs="Arial"/>
          <w:sz w:val="22"/>
        </w:rPr>
        <w:t>S</w:t>
      </w:r>
      <w:r w:rsidRPr="00C61A29">
        <w:rPr>
          <w:rFonts w:ascii="Arial" w:hAnsi="Arial" w:cs="Arial"/>
          <w:sz w:val="22"/>
        </w:rPr>
        <w:t>owohl der Medianwert der Genossenschaften als auch der Wert der Gesellscha</w:t>
      </w:r>
      <w:r w:rsidRPr="00C61A29">
        <w:rPr>
          <w:rFonts w:ascii="Arial" w:hAnsi="Arial" w:cs="Arial"/>
          <w:sz w:val="22"/>
        </w:rPr>
        <w:t>f</w:t>
      </w:r>
      <w:r w:rsidRPr="00C61A29">
        <w:rPr>
          <w:rFonts w:ascii="Arial" w:hAnsi="Arial" w:cs="Arial"/>
          <w:sz w:val="22"/>
        </w:rPr>
        <w:t>ten ist leicht zurückgegangen. Der arithmetische Mittelwert der Leerstandsquote der Geno</w:t>
      </w:r>
      <w:r w:rsidRPr="00C61A29">
        <w:rPr>
          <w:rFonts w:ascii="Arial" w:hAnsi="Arial" w:cs="Arial"/>
          <w:sz w:val="22"/>
        </w:rPr>
        <w:t>s</w:t>
      </w:r>
      <w:r w:rsidRPr="00C61A29">
        <w:rPr>
          <w:rFonts w:ascii="Arial" w:hAnsi="Arial" w:cs="Arial"/>
          <w:sz w:val="22"/>
        </w:rPr>
        <w:lastRenderedPageBreak/>
        <w:t>senschaften sank leicht auf 6,9 %, der Wert der Gesellschaften stieg auf 9,3 %. Beide En</w:t>
      </w:r>
      <w:r w:rsidRPr="00C61A29">
        <w:rPr>
          <w:rFonts w:ascii="Arial" w:hAnsi="Arial" w:cs="Arial"/>
          <w:sz w:val="22"/>
        </w:rPr>
        <w:t>t</w:t>
      </w:r>
      <w:r w:rsidRPr="00C61A29">
        <w:rPr>
          <w:rFonts w:ascii="Arial" w:hAnsi="Arial" w:cs="Arial"/>
          <w:sz w:val="22"/>
        </w:rPr>
        <w:t>wicklungen heben sich in der Summe auf.</w:t>
      </w:r>
    </w:p>
    <w:p w:rsidR="00B740B3" w:rsidRDefault="00B740B3" w:rsidP="00B740B3">
      <w:pPr>
        <w:jc w:val="both"/>
        <w:rPr>
          <w:rFonts w:ascii="Arial" w:eastAsia="Times New Roman" w:hAnsi="Arial" w:cs="Arial"/>
          <w:sz w:val="22"/>
          <w:lang w:eastAsia="de-DE"/>
        </w:rPr>
      </w:pPr>
    </w:p>
    <w:p w:rsidR="00BB60C0" w:rsidRPr="00C61A29" w:rsidRDefault="00BB60C0" w:rsidP="00BB60C0">
      <w:pPr>
        <w:jc w:val="both"/>
        <w:rPr>
          <w:rFonts w:ascii="Arial" w:hAnsi="Arial" w:cs="Arial"/>
          <w:sz w:val="22"/>
        </w:rPr>
      </w:pPr>
      <w:r>
        <w:rPr>
          <w:rFonts w:ascii="Arial" w:hAnsi="Arial" w:cs="Arial"/>
          <w:sz w:val="22"/>
        </w:rPr>
        <w:t>D</w:t>
      </w:r>
      <w:r w:rsidRPr="00C61A29">
        <w:rPr>
          <w:rFonts w:ascii="Arial" w:hAnsi="Arial" w:cs="Arial"/>
          <w:sz w:val="22"/>
        </w:rPr>
        <w:t xml:space="preserve">eutlicher fallen die Unterschiede bei der Betrachtung der Größengruppen aus. So betrug der durchschnittliche Leerstand in kleinen Genossenschaften 4,2 % (Median 3,0 %) bei einer Spanne der Leerstandsquote von 0 % bis 20,6 %. Mittelgroße Genossenschaften wiesen </w:t>
      </w:r>
      <w:r>
        <w:rPr>
          <w:rFonts w:ascii="Arial" w:hAnsi="Arial" w:cs="Arial"/>
          <w:sz w:val="22"/>
        </w:rPr>
        <w:br/>
      </w:r>
      <w:r w:rsidRPr="00C61A29">
        <w:rPr>
          <w:rFonts w:ascii="Arial" w:hAnsi="Arial" w:cs="Arial"/>
          <w:sz w:val="22"/>
        </w:rPr>
        <w:t>9,4 % (Median 9,9 %) bei einer Spanne von 0 % bis 26,8 % aus. In mittelgroßen Gesel</w:t>
      </w:r>
      <w:r w:rsidRPr="00C61A29">
        <w:rPr>
          <w:rFonts w:ascii="Arial" w:hAnsi="Arial" w:cs="Arial"/>
          <w:sz w:val="22"/>
        </w:rPr>
        <w:t>l</w:t>
      </w:r>
      <w:r w:rsidRPr="00C61A29">
        <w:rPr>
          <w:rFonts w:ascii="Arial" w:hAnsi="Arial" w:cs="Arial"/>
          <w:sz w:val="22"/>
        </w:rPr>
        <w:t xml:space="preserve">schaften wurden 9,2 % Leerstand bei einer Spanne von 0,5 % bis 27,7 % ausgewiesen. Die Spreizung der Leerstandsquoten ist </w:t>
      </w:r>
      <w:r>
        <w:rPr>
          <w:rFonts w:ascii="Arial" w:hAnsi="Arial" w:cs="Arial"/>
          <w:sz w:val="22"/>
        </w:rPr>
        <w:t xml:space="preserve">somit </w:t>
      </w:r>
      <w:r w:rsidRPr="00C61A29">
        <w:rPr>
          <w:rFonts w:ascii="Arial" w:hAnsi="Arial" w:cs="Arial"/>
          <w:sz w:val="22"/>
        </w:rPr>
        <w:t>erheblich.</w:t>
      </w:r>
    </w:p>
    <w:p w:rsidR="00BB60C0" w:rsidRPr="00FE748D" w:rsidRDefault="00BB60C0" w:rsidP="00BB60C0">
      <w:pPr>
        <w:jc w:val="both"/>
        <w:rPr>
          <w:rFonts w:ascii="Arial" w:eastAsia="Times New Roman" w:hAnsi="Arial" w:cs="Arial"/>
          <w:sz w:val="22"/>
          <w:lang w:eastAsia="de-DE"/>
        </w:rPr>
      </w:pPr>
    </w:p>
    <w:p w:rsidR="00BB60C0" w:rsidRPr="00FE748D" w:rsidRDefault="00BB60C0" w:rsidP="00BB60C0">
      <w:pPr>
        <w:jc w:val="both"/>
        <w:rPr>
          <w:rFonts w:ascii="Arial" w:hAnsi="Arial" w:cs="Arial"/>
          <w:sz w:val="22"/>
        </w:rPr>
      </w:pPr>
      <w:r w:rsidRPr="00FE748D">
        <w:rPr>
          <w:rFonts w:ascii="Arial" w:hAnsi="Arial" w:cs="Arial"/>
          <w:sz w:val="22"/>
        </w:rPr>
        <w:t>Eine weitere interessante Kennzahl in Bezug auf die Vermietungssituation ist die Fluktuat</w:t>
      </w:r>
      <w:r w:rsidRPr="00FE748D">
        <w:rPr>
          <w:rFonts w:ascii="Arial" w:hAnsi="Arial" w:cs="Arial"/>
          <w:sz w:val="22"/>
        </w:rPr>
        <w:t>i</w:t>
      </w:r>
      <w:r w:rsidRPr="00FE748D">
        <w:rPr>
          <w:rFonts w:ascii="Arial" w:hAnsi="Arial" w:cs="Arial"/>
          <w:sz w:val="22"/>
        </w:rPr>
        <w:t>onsrate, d. h. das Verhältnis der gekündigten Wohnungen zum Gesamtbestand. Der Median und das arithmetische Mittel lagen 2018 bei 8,4 %. Im Durchschnitt weisen die Genosse</w:t>
      </w:r>
      <w:r w:rsidRPr="00FE748D">
        <w:rPr>
          <w:rFonts w:ascii="Arial" w:hAnsi="Arial" w:cs="Arial"/>
          <w:sz w:val="22"/>
        </w:rPr>
        <w:t>n</w:t>
      </w:r>
      <w:r w:rsidRPr="00FE748D">
        <w:rPr>
          <w:rFonts w:ascii="Arial" w:hAnsi="Arial" w:cs="Arial"/>
          <w:sz w:val="22"/>
        </w:rPr>
        <w:t>schaften eine Fluktuationsrate von 7,4 % (Median: 7,5 %), die Gesellschaften von 10,8 % (Median: 11,1 %) aus. Der deutliche Unterschied der Fluktuationsraten nach Rechtsformen, zwischen Wohnungsgenossenschaften und kommunalen Gesellschaften, war auch in früh</w:t>
      </w:r>
      <w:r w:rsidRPr="00FE748D">
        <w:rPr>
          <w:rFonts w:ascii="Arial" w:hAnsi="Arial" w:cs="Arial"/>
          <w:sz w:val="22"/>
        </w:rPr>
        <w:t>e</w:t>
      </w:r>
      <w:r w:rsidRPr="00FE748D">
        <w:rPr>
          <w:rFonts w:ascii="Arial" w:hAnsi="Arial" w:cs="Arial"/>
          <w:sz w:val="22"/>
        </w:rPr>
        <w:t>ren Vergleichen zu verzeichnen.</w:t>
      </w:r>
    </w:p>
    <w:p w:rsidR="00BB60C0" w:rsidRPr="001837FD" w:rsidRDefault="00BB60C0" w:rsidP="00BB60C0">
      <w:pPr>
        <w:jc w:val="both"/>
        <w:rPr>
          <w:rFonts w:ascii="Arial" w:eastAsia="Times New Roman" w:hAnsi="Arial" w:cs="Arial"/>
          <w:sz w:val="22"/>
          <w:lang w:eastAsia="de-DE"/>
        </w:rPr>
      </w:pPr>
    </w:p>
    <w:p w:rsidR="00BB60C0" w:rsidRDefault="00BB60C0" w:rsidP="00BB60C0">
      <w:pPr>
        <w:jc w:val="both"/>
        <w:rPr>
          <w:rFonts w:ascii="Arial" w:hAnsi="Arial" w:cs="Arial"/>
          <w:sz w:val="22"/>
        </w:rPr>
      </w:pPr>
      <w:r w:rsidRPr="001837FD">
        <w:rPr>
          <w:rFonts w:ascii="Arial" w:hAnsi="Arial" w:cs="Arial"/>
          <w:sz w:val="22"/>
        </w:rPr>
        <w:t>Der Anstieg des durchschnittlichen Instandhaltungskostensatzes hat sich auch im Jahr 2018 fortgesetzt. Der Median lag bei 15,19 Euro/m², das arithmetische Mittel bei 16,55 Euro/m². Die Spanne der Werte der einzelnen Unternehmen ist erheblich und reicht von 4,24 Euro/m² bis zu 48,88 Euro/m². Auch sind Median und Mittelwert der Genossenschaften stark ang</w:t>
      </w:r>
      <w:r w:rsidRPr="001837FD">
        <w:rPr>
          <w:rFonts w:ascii="Arial" w:hAnsi="Arial" w:cs="Arial"/>
          <w:sz w:val="22"/>
        </w:rPr>
        <w:t>e</w:t>
      </w:r>
      <w:r w:rsidRPr="001837FD">
        <w:rPr>
          <w:rFonts w:ascii="Arial" w:hAnsi="Arial" w:cs="Arial"/>
          <w:sz w:val="22"/>
        </w:rPr>
        <w:t>stiegen.</w:t>
      </w:r>
      <w:r>
        <w:rPr>
          <w:rFonts w:ascii="Arial" w:hAnsi="Arial" w:cs="Arial"/>
          <w:sz w:val="22"/>
        </w:rPr>
        <w:t xml:space="preserve"> </w:t>
      </w:r>
      <w:r w:rsidRPr="001837FD">
        <w:rPr>
          <w:rFonts w:ascii="Arial" w:hAnsi="Arial" w:cs="Arial"/>
          <w:sz w:val="22"/>
        </w:rPr>
        <w:t xml:space="preserve">Die Werte der Mehrzahl der Unternehmen liegen über dem in der GdW Arbeitshilfe 76 genannten Schwellenwert von 10 Euro/m². </w:t>
      </w:r>
    </w:p>
    <w:p w:rsidR="00BB60C0" w:rsidRDefault="00BB60C0" w:rsidP="00BB60C0">
      <w:pPr>
        <w:jc w:val="both"/>
        <w:rPr>
          <w:rFonts w:ascii="Arial" w:hAnsi="Arial" w:cs="Arial"/>
          <w:sz w:val="22"/>
        </w:rPr>
      </w:pPr>
    </w:p>
    <w:p w:rsidR="00BB60C0" w:rsidRPr="001837FD" w:rsidRDefault="00BB60C0" w:rsidP="00BB60C0">
      <w:pPr>
        <w:jc w:val="both"/>
        <w:rPr>
          <w:rFonts w:ascii="Arial" w:hAnsi="Arial" w:cs="Arial"/>
          <w:sz w:val="22"/>
        </w:rPr>
      </w:pPr>
      <w:r w:rsidRPr="001837FD">
        <w:rPr>
          <w:rFonts w:ascii="Arial" w:hAnsi="Arial" w:cs="Arial"/>
          <w:sz w:val="22"/>
        </w:rPr>
        <w:t>Der zweite Sanierungszyklus wird zunehmend Realität. Seit dem Jahr 2013 steigt der durc</w:t>
      </w:r>
      <w:r w:rsidRPr="001837FD">
        <w:rPr>
          <w:rFonts w:ascii="Arial" w:hAnsi="Arial" w:cs="Arial"/>
          <w:sz w:val="22"/>
        </w:rPr>
        <w:t>h</w:t>
      </w:r>
      <w:r w:rsidRPr="001837FD">
        <w:rPr>
          <w:rFonts w:ascii="Arial" w:hAnsi="Arial" w:cs="Arial"/>
          <w:sz w:val="22"/>
        </w:rPr>
        <w:t>schnittliche jährliche Instandhaltungskostensatz. Bauteile und Einbauten aus den 90er Ja</w:t>
      </w:r>
      <w:r w:rsidRPr="001837FD">
        <w:rPr>
          <w:rFonts w:ascii="Arial" w:hAnsi="Arial" w:cs="Arial"/>
          <w:sz w:val="22"/>
        </w:rPr>
        <w:t>h</w:t>
      </w:r>
      <w:r w:rsidRPr="001837FD">
        <w:rPr>
          <w:rFonts w:ascii="Arial" w:hAnsi="Arial" w:cs="Arial"/>
          <w:sz w:val="22"/>
        </w:rPr>
        <w:t>ren benötigen zunehmend Reparaturen bzw. müssen erneuert werden. Dies schlägt sich auch auf den Wert der Investitionen in den Bestand nieder. Dort sind sowohl die Instandha</w:t>
      </w:r>
      <w:r w:rsidRPr="001837FD">
        <w:rPr>
          <w:rFonts w:ascii="Arial" w:hAnsi="Arial" w:cs="Arial"/>
          <w:sz w:val="22"/>
        </w:rPr>
        <w:t>l</w:t>
      </w:r>
      <w:r w:rsidRPr="001837FD">
        <w:rPr>
          <w:rFonts w:ascii="Arial" w:hAnsi="Arial" w:cs="Arial"/>
          <w:sz w:val="22"/>
        </w:rPr>
        <w:t>tungs- als auch die Instandsetzungs- und Modernisierungsaufwendungen enthalten. Seit dem Jahr 2015 ist hier ebenfalls ein Anstieg auf nunmehr im Durchschnitt aller Unternehmen 24,19 Euro/m² pro Jahr (2017: 21,62 Euro/m²) zu verzeichnen. Der Median stieg von 17,81 Euro/m² auf 21,28 Euro/m².</w:t>
      </w:r>
    </w:p>
    <w:p w:rsidR="00BB60C0" w:rsidRPr="005E30B4" w:rsidRDefault="00BB60C0" w:rsidP="00BB60C0">
      <w:pPr>
        <w:jc w:val="both"/>
        <w:rPr>
          <w:rFonts w:ascii="Arial" w:eastAsia="Times New Roman" w:hAnsi="Arial" w:cs="Arial"/>
          <w:sz w:val="22"/>
          <w:lang w:eastAsia="de-DE"/>
        </w:rPr>
      </w:pPr>
    </w:p>
    <w:p w:rsidR="00BB60C0" w:rsidRPr="005E30B4" w:rsidRDefault="00BB60C0" w:rsidP="00BB60C0">
      <w:pPr>
        <w:jc w:val="both"/>
        <w:rPr>
          <w:rFonts w:ascii="Arial" w:hAnsi="Arial" w:cs="Arial"/>
          <w:sz w:val="22"/>
        </w:rPr>
      </w:pPr>
      <w:r w:rsidRPr="005E30B4">
        <w:rPr>
          <w:rFonts w:ascii="Arial" w:hAnsi="Arial" w:cs="Arial"/>
          <w:sz w:val="22"/>
        </w:rPr>
        <w:t>Der sich fortsetzende Anstieg der Investitionen in den Bestand (Instandhaltungs- und nac</w:t>
      </w:r>
      <w:r w:rsidRPr="005E30B4">
        <w:rPr>
          <w:rFonts w:ascii="Arial" w:hAnsi="Arial" w:cs="Arial"/>
          <w:sz w:val="22"/>
        </w:rPr>
        <w:t>h</w:t>
      </w:r>
      <w:r w:rsidRPr="005E30B4">
        <w:rPr>
          <w:rFonts w:ascii="Arial" w:hAnsi="Arial" w:cs="Arial"/>
          <w:sz w:val="22"/>
        </w:rPr>
        <w:t>trägliche Herstellungskosten bezogen auf die Wohn-/Nutzfläche) führte 2018 dazu, dass der in der GdW Arbeitshilfe 76 „Zukunftsfähigkeit von Wohnungsunternehmen“ genannte Schwellenwert von 20 Euro/m² erstmals im Mittel der Unternehmen überschritten wurde.</w:t>
      </w:r>
    </w:p>
    <w:p w:rsidR="00BB60C0" w:rsidRPr="005E30B4" w:rsidRDefault="00BB60C0" w:rsidP="00BB60C0">
      <w:pPr>
        <w:jc w:val="both"/>
        <w:rPr>
          <w:rFonts w:ascii="Arial" w:eastAsia="Times New Roman" w:hAnsi="Arial" w:cs="Arial"/>
          <w:sz w:val="22"/>
          <w:lang w:eastAsia="de-DE"/>
        </w:rPr>
      </w:pPr>
    </w:p>
    <w:p w:rsidR="00BB60C0" w:rsidRPr="005E30B4" w:rsidRDefault="00BB60C0" w:rsidP="00BB60C0">
      <w:pPr>
        <w:jc w:val="both"/>
        <w:rPr>
          <w:rFonts w:ascii="Arial" w:hAnsi="Arial" w:cs="Arial"/>
          <w:sz w:val="22"/>
        </w:rPr>
      </w:pPr>
      <w:r w:rsidRPr="005E30B4">
        <w:rPr>
          <w:rFonts w:ascii="Arial" w:hAnsi="Arial" w:cs="Arial"/>
          <w:sz w:val="22"/>
        </w:rPr>
        <w:t>Im Durchschnitt der Unternehmen beliefen sich die Verwaltungskosten auf 411 Euro/Einheit im Jahr 2018. 2017 betrug dieser Wert 395 Euro/Einheit. Der Median ist mit 405 E</w:t>
      </w:r>
      <w:r w:rsidRPr="005E30B4">
        <w:rPr>
          <w:rFonts w:ascii="Arial" w:hAnsi="Arial" w:cs="Arial"/>
          <w:sz w:val="22"/>
        </w:rPr>
        <w:t>u</w:t>
      </w:r>
      <w:r w:rsidRPr="005E30B4">
        <w:rPr>
          <w:rFonts w:ascii="Arial" w:hAnsi="Arial" w:cs="Arial"/>
          <w:sz w:val="22"/>
        </w:rPr>
        <w:t>ro/Einheit, so wie in den Vorjahren auch, niedriger als der Mittelwert. Die Spanne der Verwa</w:t>
      </w:r>
      <w:r w:rsidRPr="005E30B4">
        <w:rPr>
          <w:rFonts w:ascii="Arial" w:hAnsi="Arial" w:cs="Arial"/>
          <w:sz w:val="22"/>
        </w:rPr>
        <w:t>l</w:t>
      </w:r>
      <w:r w:rsidRPr="005E30B4">
        <w:rPr>
          <w:rFonts w:ascii="Arial" w:hAnsi="Arial" w:cs="Arial"/>
          <w:sz w:val="22"/>
        </w:rPr>
        <w:t>tungskosten reicht von 170 bis 738 Euro/Einheit. Drei Gründe sind insbesondere für den A</w:t>
      </w:r>
      <w:r w:rsidRPr="005E30B4">
        <w:rPr>
          <w:rFonts w:ascii="Arial" w:hAnsi="Arial" w:cs="Arial"/>
          <w:sz w:val="22"/>
        </w:rPr>
        <w:t>n</w:t>
      </w:r>
      <w:r w:rsidRPr="005E30B4">
        <w:rPr>
          <w:rFonts w:ascii="Arial" w:hAnsi="Arial" w:cs="Arial"/>
          <w:sz w:val="22"/>
        </w:rPr>
        <w:t>stieg der Verwaltungskosten verantwortlich: Zum einen sind dies steigende Preise und zum anderen der Generationenwechsel in den Unternehmen verbunden mit einem Fachkräft</w:t>
      </w:r>
      <w:r w:rsidRPr="005E30B4">
        <w:rPr>
          <w:rFonts w:ascii="Arial" w:hAnsi="Arial" w:cs="Arial"/>
          <w:sz w:val="22"/>
        </w:rPr>
        <w:t>e</w:t>
      </w:r>
      <w:r w:rsidRPr="005E30B4">
        <w:rPr>
          <w:rFonts w:ascii="Arial" w:hAnsi="Arial" w:cs="Arial"/>
          <w:sz w:val="22"/>
        </w:rPr>
        <w:t xml:space="preserve">mangel. Während der Einarbeitungszeit ist die entsprechende Stelle häufig doppelt besetzt, was zu einem Anstieg der Kosten führt. </w:t>
      </w:r>
    </w:p>
    <w:p w:rsidR="00BB60C0" w:rsidRPr="00C9736D" w:rsidRDefault="00BB60C0" w:rsidP="00BB60C0">
      <w:pPr>
        <w:jc w:val="both"/>
        <w:rPr>
          <w:rFonts w:ascii="Arial" w:hAnsi="Arial" w:cs="Arial"/>
          <w:sz w:val="22"/>
        </w:rPr>
      </w:pPr>
    </w:p>
    <w:p w:rsidR="00B740B3" w:rsidRDefault="00BB60C0" w:rsidP="00B740B3">
      <w:pPr>
        <w:jc w:val="both"/>
        <w:rPr>
          <w:rFonts w:ascii="Arial" w:hAnsi="Arial" w:cs="Arial"/>
          <w:sz w:val="22"/>
        </w:rPr>
      </w:pPr>
      <w:r w:rsidRPr="00C9736D">
        <w:rPr>
          <w:rFonts w:ascii="Arial" w:hAnsi="Arial" w:cs="Arial"/>
          <w:sz w:val="22"/>
        </w:rPr>
        <w:t>Das nach wie vor andauernde niedrige Zinsniveau und eine weitere zügige Tilgung der Ve</w:t>
      </w:r>
      <w:r w:rsidRPr="00C9736D">
        <w:rPr>
          <w:rFonts w:ascii="Arial" w:hAnsi="Arial" w:cs="Arial"/>
          <w:sz w:val="22"/>
        </w:rPr>
        <w:t>r</w:t>
      </w:r>
      <w:r w:rsidRPr="00C9736D">
        <w:rPr>
          <w:rFonts w:ascii="Arial" w:hAnsi="Arial" w:cs="Arial"/>
          <w:sz w:val="22"/>
        </w:rPr>
        <w:t>bindlichkeiten haben dazu geführt, dass die Zinsquote der Unternehmen auch im Jahr 2018 weiter gesunken ist. Der Median der Werte aller beteiligten Unternehmen ist mit 9,7 % ers</w:t>
      </w:r>
      <w:r w:rsidRPr="00C9736D">
        <w:rPr>
          <w:rFonts w:ascii="Arial" w:hAnsi="Arial" w:cs="Arial"/>
          <w:sz w:val="22"/>
        </w:rPr>
        <w:t>t</w:t>
      </w:r>
      <w:r w:rsidRPr="00C9736D">
        <w:rPr>
          <w:rFonts w:ascii="Arial" w:hAnsi="Arial" w:cs="Arial"/>
          <w:sz w:val="22"/>
        </w:rPr>
        <w:t xml:space="preserve">mals unter die 10%-Marke gefallen. Der arithmetische Mittelwert liegt mit 10,6 % immerhin unter der 11%-Marke. </w:t>
      </w:r>
    </w:p>
    <w:p w:rsidR="00B740B3" w:rsidRDefault="00B740B3" w:rsidP="00B740B3">
      <w:pPr>
        <w:jc w:val="both"/>
        <w:rPr>
          <w:rFonts w:ascii="Arial" w:hAnsi="Arial" w:cs="Arial"/>
          <w:sz w:val="22"/>
        </w:rPr>
      </w:pPr>
    </w:p>
    <w:p w:rsidR="00BB60C0" w:rsidRDefault="00BB60C0" w:rsidP="00B740B3">
      <w:pPr>
        <w:jc w:val="both"/>
        <w:rPr>
          <w:rFonts w:ascii="Arial" w:hAnsi="Arial" w:cs="Arial"/>
          <w:sz w:val="22"/>
        </w:rPr>
      </w:pPr>
      <w:r w:rsidRPr="00C9736D">
        <w:rPr>
          <w:rFonts w:ascii="Arial" w:hAnsi="Arial" w:cs="Arial"/>
          <w:sz w:val="22"/>
        </w:rPr>
        <w:t>Nach wie vor erfolgen durch die Unternehmen relativ hohe Tilgungen. Dies wird zum einen am Verhältnis von Zins- und Kapitaldienstquote, aber auch am weniger starken Rückgang der Kapitaldienstquote im Vergleich zur Zinsquote deutlich. Der Median der Kapitaldiens</w:t>
      </w:r>
      <w:r w:rsidRPr="00C9736D">
        <w:rPr>
          <w:rFonts w:ascii="Arial" w:hAnsi="Arial" w:cs="Arial"/>
          <w:sz w:val="22"/>
        </w:rPr>
        <w:t>t</w:t>
      </w:r>
      <w:r w:rsidRPr="00C9736D">
        <w:rPr>
          <w:rFonts w:ascii="Arial" w:hAnsi="Arial" w:cs="Arial"/>
          <w:sz w:val="22"/>
        </w:rPr>
        <w:t xml:space="preserve">quote aller Unternehmen lag 2018 bei 39,4 % (2017 40,6 %). Das arithmetische Mittel lag mit </w:t>
      </w:r>
      <w:r w:rsidRPr="00C9736D">
        <w:rPr>
          <w:rFonts w:ascii="Arial" w:hAnsi="Arial" w:cs="Arial"/>
          <w:sz w:val="22"/>
        </w:rPr>
        <w:lastRenderedPageBreak/>
        <w:t>37,4 % (2017: 38,7 %) deutlich darunter.</w:t>
      </w:r>
      <w:r>
        <w:rPr>
          <w:rFonts w:ascii="Arial" w:hAnsi="Arial" w:cs="Arial"/>
          <w:sz w:val="22"/>
        </w:rPr>
        <w:t xml:space="preserve"> </w:t>
      </w:r>
      <w:r w:rsidRPr="00C9736D">
        <w:rPr>
          <w:rFonts w:ascii="Arial" w:hAnsi="Arial" w:cs="Arial"/>
          <w:sz w:val="22"/>
        </w:rPr>
        <w:t>Die Kapitaldienstquote der Mehrzahl der Unte</w:t>
      </w:r>
      <w:r w:rsidRPr="00C9736D">
        <w:rPr>
          <w:rFonts w:ascii="Arial" w:hAnsi="Arial" w:cs="Arial"/>
          <w:sz w:val="22"/>
        </w:rPr>
        <w:t>r</w:t>
      </w:r>
      <w:r w:rsidRPr="00C9736D">
        <w:rPr>
          <w:rFonts w:ascii="Arial" w:hAnsi="Arial" w:cs="Arial"/>
          <w:sz w:val="22"/>
        </w:rPr>
        <w:t>nehmen lag damit unter dem Schwellenwert von 50 %, der in der GdW Arbeitshilfe 76 g</w:t>
      </w:r>
      <w:r w:rsidRPr="00C9736D">
        <w:rPr>
          <w:rFonts w:ascii="Arial" w:hAnsi="Arial" w:cs="Arial"/>
          <w:sz w:val="22"/>
        </w:rPr>
        <w:t>e</w:t>
      </w:r>
      <w:r w:rsidRPr="00C9736D">
        <w:rPr>
          <w:rFonts w:ascii="Arial" w:hAnsi="Arial" w:cs="Arial"/>
          <w:sz w:val="22"/>
        </w:rPr>
        <w:t xml:space="preserve">nannt wird. </w:t>
      </w:r>
    </w:p>
    <w:p w:rsidR="00B740B3" w:rsidRDefault="00B740B3" w:rsidP="00B740B3">
      <w:pPr>
        <w:jc w:val="both"/>
        <w:rPr>
          <w:rFonts w:ascii="Arial" w:hAnsi="Arial" w:cs="Arial"/>
          <w:sz w:val="22"/>
        </w:rPr>
      </w:pPr>
    </w:p>
    <w:p w:rsidR="00BB60C0" w:rsidRDefault="00BB60C0" w:rsidP="00BB60C0">
      <w:pPr>
        <w:jc w:val="both"/>
        <w:rPr>
          <w:rFonts w:ascii="Arial" w:hAnsi="Arial" w:cs="Arial"/>
          <w:spacing w:val="-2"/>
          <w:sz w:val="22"/>
        </w:rPr>
      </w:pPr>
      <w:r w:rsidRPr="00D5044D">
        <w:rPr>
          <w:rFonts w:ascii="Arial" w:hAnsi="Arial" w:cs="Arial"/>
          <w:spacing w:val="-2"/>
          <w:sz w:val="22"/>
        </w:rPr>
        <w:t xml:space="preserve">Die durchschnittliche Eigenkapitalquote der Unternehmen stieg im Jahr 2018 auf 57,6 %. Der Wert des </w:t>
      </w:r>
      <w:proofErr w:type="spellStart"/>
      <w:r w:rsidRPr="00D5044D">
        <w:rPr>
          <w:rFonts w:ascii="Arial" w:hAnsi="Arial" w:cs="Arial"/>
          <w:spacing w:val="-2"/>
          <w:sz w:val="22"/>
        </w:rPr>
        <w:t>Medians</w:t>
      </w:r>
      <w:proofErr w:type="spellEnd"/>
      <w:r w:rsidRPr="00D5044D">
        <w:rPr>
          <w:rFonts w:ascii="Arial" w:hAnsi="Arial" w:cs="Arial"/>
          <w:spacing w:val="-2"/>
          <w:sz w:val="22"/>
        </w:rPr>
        <w:t xml:space="preserve"> erhöhte sich auf 54,9 %. Die Spanne der Unternehmenswerte reichte von </w:t>
      </w:r>
      <w:r w:rsidRPr="00D5044D">
        <w:rPr>
          <w:rFonts w:ascii="Arial" w:hAnsi="Arial" w:cs="Arial"/>
          <w:spacing w:val="-2"/>
          <w:sz w:val="22"/>
        </w:rPr>
        <w:br/>
        <w:t>13,3 % bis 94,8 %. Die Genossenschaften wiesen 2018 eine durchschnittliche Eigenkapita</w:t>
      </w:r>
      <w:r w:rsidRPr="00D5044D">
        <w:rPr>
          <w:rFonts w:ascii="Arial" w:hAnsi="Arial" w:cs="Arial"/>
          <w:spacing w:val="-2"/>
          <w:sz w:val="22"/>
        </w:rPr>
        <w:t>l</w:t>
      </w:r>
      <w:r w:rsidRPr="00D5044D">
        <w:rPr>
          <w:rFonts w:ascii="Arial" w:hAnsi="Arial" w:cs="Arial"/>
          <w:spacing w:val="-2"/>
          <w:sz w:val="22"/>
        </w:rPr>
        <w:t xml:space="preserve">quote von 62,7 % (2017: 59,2 %) und einen Median von 64,3 % aus, die Gesellschaften von 46,6 % (Median: 44,9 %). </w:t>
      </w:r>
    </w:p>
    <w:p w:rsidR="00BB60C0" w:rsidRDefault="00BB60C0" w:rsidP="00BB60C0">
      <w:pPr>
        <w:jc w:val="both"/>
        <w:rPr>
          <w:rFonts w:ascii="Arial" w:hAnsi="Arial" w:cs="Arial"/>
          <w:spacing w:val="-2"/>
          <w:sz w:val="22"/>
        </w:rPr>
      </w:pPr>
    </w:p>
    <w:p w:rsidR="00BB60C0" w:rsidRDefault="00BB60C0" w:rsidP="00BB60C0">
      <w:pPr>
        <w:jc w:val="both"/>
        <w:rPr>
          <w:rFonts w:ascii="Arial" w:hAnsi="Arial" w:cs="Arial"/>
          <w:sz w:val="22"/>
        </w:rPr>
      </w:pPr>
      <w:r w:rsidRPr="00D5044D">
        <w:rPr>
          <w:rFonts w:ascii="Arial" w:hAnsi="Arial" w:cs="Arial"/>
          <w:sz w:val="22"/>
        </w:rPr>
        <w:t>Die Objektverschuldung (Median) ist in der Summe aller Unternehmen von 233 Euro/m² im Jahr 2014 auf 184 Euro/m² im Jahr 2018 kontinuierlich zurückgegangen. Das arithmetische Mittel der Objektverschuldung der beteiligten Unternehmen belief sich im Jahr 2018 auf 192 Euro/m². In der Summe korrespondiert die Entwicklung der Objektverschuldung mit der En</w:t>
      </w:r>
      <w:r w:rsidRPr="00D5044D">
        <w:rPr>
          <w:rFonts w:ascii="Arial" w:hAnsi="Arial" w:cs="Arial"/>
          <w:sz w:val="22"/>
        </w:rPr>
        <w:t>t</w:t>
      </w:r>
      <w:r w:rsidRPr="00D5044D">
        <w:rPr>
          <w:rFonts w:ascii="Arial" w:hAnsi="Arial" w:cs="Arial"/>
          <w:sz w:val="22"/>
        </w:rPr>
        <w:t xml:space="preserve">wicklung der Eigenkapitalquote. </w:t>
      </w:r>
      <w:r>
        <w:rPr>
          <w:rFonts w:ascii="Arial" w:hAnsi="Arial" w:cs="Arial"/>
          <w:sz w:val="22"/>
        </w:rPr>
        <w:t xml:space="preserve">Auch der dynamische Verschuldungsgrad konnte weiter gesenkt werden, </w:t>
      </w:r>
      <w:r w:rsidRPr="00D5044D">
        <w:rPr>
          <w:rFonts w:ascii="Arial" w:hAnsi="Arial" w:cs="Arial"/>
          <w:sz w:val="22"/>
        </w:rPr>
        <w:t xml:space="preserve">von </w:t>
      </w:r>
      <w:r>
        <w:rPr>
          <w:rFonts w:ascii="Arial" w:hAnsi="Arial" w:cs="Arial"/>
          <w:sz w:val="22"/>
        </w:rPr>
        <w:t xml:space="preserve">im Median </w:t>
      </w:r>
      <w:r w:rsidRPr="00D5044D">
        <w:rPr>
          <w:rFonts w:ascii="Arial" w:hAnsi="Arial" w:cs="Arial"/>
          <w:sz w:val="22"/>
        </w:rPr>
        <w:t>10,3 Jahre</w:t>
      </w:r>
      <w:r>
        <w:rPr>
          <w:rFonts w:ascii="Arial" w:hAnsi="Arial" w:cs="Arial"/>
          <w:sz w:val="22"/>
        </w:rPr>
        <w:t>n in</w:t>
      </w:r>
      <w:r w:rsidRPr="00D5044D">
        <w:rPr>
          <w:rFonts w:ascii="Arial" w:hAnsi="Arial" w:cs="Arial"/>
          <w:sz w:val="22"/>
        </w:rPr>
        <w:t xml:space="preserve"> 2014 auf 7,0 Jahre in 2018</w:t>
      </w:r>
      <w:r>
        <w:rPr>
          <w:rFonts w:ascii="Arial" w:hAnsi="Arial" w:cs="Arial"/>
          <w:sz w:val="22"/>
        </w:rPr>
        <w:t>.</w:t>
      </w:r>
      <w:r w:rsidRPr="00D5044D">
        <w:rPr>
          <w:rFonts w:ascii="Arial" w:hAnsi="Arial" w:cs="Arial"/>
          <w:sz w:val="22"/>
        </w:rPr>
        <w:t xml:space="preserve"> Der Durchschnitt der Unternehmen lag sowohl 2017 als auch 2018 bei 7,9 Jahren. </w:t>
      </w:r>
    </w:p>
    <w:p w:rsidR="00BB60C0" w:rsidRPr="001C6DC6" w:rsidRDefault="00BB60C0" w:rsidP="00BB60C0">
      <w:pPr>
        <w:jc w:val="both"/>
        <w:rPr>
          <w:rFonts w:ascii="Arial" w:eastAsia="Times New Roman" w:hAnsi="Arial" w:cs="Arial"/>
          <w:sz w:val="22"/>
          <w:lang w:eastAsia="de-DE"/>
        </w:rPr>
      </w:pPr>
    </w:p>
    <w:p w:rsidR="005F30CD" w:rsidRDefault="00BB60C0" w:rsidP="00BB60C0">
      <w:pPr>
        <w:jc w:val="both"/>
        <w:rPr>
          <w:rFonts w:ascii="Arial" w:eastAsia="Times New Roman" w:hAnsi="Arial" w:cs="Arial"/>
          <w:sz w:val="22"/>
          <w:lang w:eastAsia="de-DE"/>
        </w:rPr>
      </w:pPr>
      <w:r w:rsidRPr="001C6DC6">
        <w:rPr>
          <w:rFonts w:ascii="Arial" w:eastAsia="Times New Roman" w:hAnsi="Arial" w:cs="Arial"/>
          <w:spacing w:val="-2"/>
          <w:sz w:val="22"/>
          <w:szCs w:val="24"/>
          <w:lang w:eastAsia="de-DE"/>
        </w:rPr>
        <w:t xml:space="preserve">Die </w:t>
      </w:r>
      <w:r w:rsidRPr="001C6DC6">
        <w:rPr>
          <w:rFonts w:ascii="Arial" w:hAnsi="Arial" w:cs="Arial"/>
          <w:color w:val="000000"/>
          <w:spacing w:val="-2"/>
          <w:sz w:val="22"/>
        </w:rPr>
        <w:t xml:space="preserve">Thüringer Wohnungsunternehmen leisten einen wichtigen Beitrag zur Versorgung breiter Schichten der Thüringer Bevölkerung mit Wohnraum. Um wirtschaftlich agieren zu können, stellen sie sich den Anforderungen des Marktes und bieten Wohnraum in allen Segmenten an. </w:t>
      </w:r>
      <w:r w:rsidRPr="001C6DC6">
        <w:rPr>
          <w:rFonts w:ascii="Arial" w:hAnsi="Arial" w:cs="Arial"/>
          <w:color w:val="000000"/>
          <w:sz w:val="22"/>
        </w:rPr>
        <w:t>Die Wohnungsunternehmen im vtw waren – und werden dies auch immer sein – Partner ihrer Mieter und der regionalen Wirtschaft und Politik. Mit ihren Aufträgen sichern sie Ta</w:t>
      </w:r>
      <w:r w:rsidRPr="001C6DC6">
        <w:rPr>
          <w:rFonts w:ascii="Arial" w:hAnsi="Arial" w:cs="Arial"/>
          <w:color w:val="000000"/>
          <w:sz w:val="22"/>
        </w:rPr>
        <w:t>u</w:t>
      </w:r>
      <w:r w:rsidRPr="001C6DC6">
        <w:rPr>
          <w:rFonts w:ascii="Arial" w:hAnsi="Arial" w:cs="Arial"/>
          <w:color w:val="000000"/>
          <w:sz w:val="22"/>
        </w:rPr>
        <w:t>sende Arbeitsplätze in der Thüringer Bauindustrie.</w:t>
      </w:r>
      <w:r w:rsidR="005F30CD">
        <w:rPr>
          <w:rFonts w:ascii="Arial" w:hAnsi="Arial" w:cs="Arial"/>
          <w:color w:val="000000"/>
          <w:sz w:val="22"/>
        </w:rPr>
        <w:t xml:space="preserve"> </w:t>
      </w:r>
      <w:r w:rsidR="005F30CD">
        <w:rPr>
          <w:rFonts w:ascii="Arial" w:eastAsia="Times New Roman" w:hAnsi="Arial" w:cs="Arial"/>
          <w:sz w:val="22"/>
          <w:lang w:eastAsia="de-DE"/>
        </w:rPr>
        <w:t>Insbesondere in Zeiten der Corona-Pandemie wirken die Wohnungsunternehmen als Stabilitätsfaktor in den Regionen. Sie g</w:t>
      </w:r>
      <w:r w:rsidR="005F30CD">
        <w:rPr>
          <w:rFonts w:ascii="Arial" w:eastAsia="Times New Roman" w:hAnsi="Arial" w:cs="Arial"/>
          <w:sz w:val="22"/>
          <w:lang w:eastAsia="de-DE"/>
        </w:rPr>
        <w:t>e</w:t>
      </w:r>
      <w:r w:rsidR="005F30CD">
        <w:rPr>
          <w:rFonts w:ascii="Arial" w:eastAsia="Times New Roman" w:hAnsi="Arial" w:cs="Arial"/>
          <w:sz w:val="22"/>
          <w:lang w:eastAsia="de-DE"/>
        </w:rPr>
        <w:t xml:space="preserve">ben ihren Mietern und Mitgliedern die Sicherheit, die Wohnung nicht zu verlieren, auch wenn die Einkommen teilweise wegbrechen. Information und Unterstützung der Mieter bis hin zu Mietstundungen nehmen aktuell breiten Raum in der Tätigkeit der Unternehmen ein. </w:t>
      </w:r>
    </w:p>
    <w:p w:rsidR="005F30CD" w:rsidRPr="001C6DC6" w:rsidRDefault="005F30CD" w:rsidP="00BB60C0">
      <w:pPr>
        <w:jc w:val="both"/>
        <w:rPr>
          <w:rFonts w:ascii="Arial" w:eastAsia="Times New Roman" w:hAnsi="Arial" w:cs="Arial"/>
          <w:sz w:val="22"/>
          <w:lang w:eastAsia="de-DE"/>
        </w:rPr>
      </w:pPr>
    </w:p>
    <w:p w:rsidR="00BB60C0" w:rsidRPr="001C6DC6" w:rsidRDefault="00BB60C0" w:rsidP="00BB60C0">
      <w:pPr>
        <w:jc w:val="both"/>
        <w:rPr>
          <w:rFonts w:ascii="Arial" w:hAnsi="Arial" w:cs="Arial"/>
          <w:sz w:val="22"/>
        </w:rPr>
      </w:pPr>
      <w:r w:rsidRPr="001C6DC6">
        <w:rPr>
          <w:rFonts w:ascii="Arial" w:hAnsi="Arial" w:cs="Arial"/>
          <w:sz w:val="22"/>
        </w:rPr>
        <w:t xml:space="preserve">Die Mehrzahl der </w:t>
      </w:r>
      <w:r>
        <w:rPr>
          <w:rFonts w:ascii="Arial" w:hAnsi="Arial" w:cs="Arial"/>
          <w:sz w:val="22"/>
        </w:rPr>
        <w:t>U</w:t>
      </w:r>
      <w:r w:rsidRPr="001C6DC6">
        <w:rPr>
          <w:rFonts w:ascii="Arial" w:hAnsi="Arial" w:cs="Arial"/>
          <w:sz w:val="22"/>
        </w:rPr>
        <w:t xml:space="preserve">nternehmen ist wirtschaftlich stabil und konnte diese Position durch stete intensive Arbeit festigen. </w:t>
      </w:r>
      <w:r w:rsidR="005F30CD">
        <w:rPr>
          <w:rFonts w:ascii="Arial" w:hAnsi="Arial" w:cs="Arial"/>
          <w:sz w:val="22"/>
        </w:rPr>
        <w:t>In welcher Höhe Einnahmen durch die Corona-Krise wegbrechen, lässt sich derzeit nicht einschätzen. Wichtig ist deshalb ein stringentes Liquiditätsmanag</w:t>
      </w:r>
      <w:r w:rsidR="005F30CD">
        <w:rPr>
          <w:rFonts w:ascii="Arial" w:hAnsi="Arial" w:cs="Arial"/>
          <w:sz w:val="22"/>
        </w:rPr>
        <w:t>e</w:t>
      </w:r>
      <w:r w:rsidR="005F30CD">
        <w:rPr>
          <w:rFonts w:ascii="Arial" w:hAnsi="Arial" w:cs="Arial"/>
          <w:sz w:val="22"/>
        </w:rPr>
        <w:t xml:space="preserve">ment, das viele Unternehmen schon länger praktizieren. </w:t>
      </w:r>
      <w:r w:rsidRPr="001C6DC6">
        <w:rPr>
          <w:rFonts w:ascii="Arial" w:eastAsia="Times New Roman" w:hAnsi="Arial" w:cs="Arial"/>
          <w:sz w:val="22"/>
          <w:szCs w:val="24"/>
          <w:lang w:eastAsia="de-DE"/>
        </w:rPr>
        <w:t xml:space="preserve">Die </w:t>
      </w:r>
      <w:r w:rsidR="005F30CD">
        <w:rPr>
          <w:rFonts w:ascii="Arial" w:eastAsia="Times New Roman" w:hAnsi="Arial" w:cs="Arial"/>
          <w:sz w:val="22"/>
          <w:szCs w:val="24"/>
          <w:lang w:eastAsia="de-DE"/>
        </w:rPr>
        <w:t xml:space="preserve">bisherigen </w:t>
      </w:r>
      <w:r w:rsidRPr="001C6DC6">
        <w:rPr>
          <w:rFonts w:ascii="Arial" w:eastAsia="Times New Roman" w:hAnsi="Arial" w:cs="Arial"/>
          <w:sz w:val="22"/>
          <w:szCs w:val="24"/>
          <w:lang w:eastAsia="de-DE"/>
        </w:rPr>
        <w:t xml:space="preserve">Herausforderungen </w:t>
      </w:r>
      <w:r w:rsidR="005F30CD">
        <w:rPr>
          <w:rFonts w:ascii="Arial" w:eastAsia="Times New Roman" w:hAnsi="Arial" w:cs="Arial"/>
          <w:sz w:val="22"/>
          <w:szCs w:val="24"/>
          <w:lang w:eastAsia="de-DE"/>
        </w:rPr>
        <w:t>bleiben, auch wenn Corona derzeit alles überschattet.</w:t>
      </w:r>
      <w:r w:rsidRPr="001C6DC6">
        <w:rPr>
          <w:rFonts w:ascii="Arial" w:eastAsia="Times New Roman" w:hAnsi="Arial" w:cs="Arial"/>
          <w:sz w:val="22"/>
          <w:szCs w:val="24"/>
          <w:lang w:eastAsia="de-DE"/>
        </w:rPr>
        <w:t xml:space="preserve"> Zum einen ist dies der anstehende zweite Sanierungszyklus, zum anderen sind dies die Folgen des demografischen Wandels. Auch erschweren immer neue und sich weiter verschärfende gesetzliche technische und verordnungsrechtliche Anforderungen die Arbeit der Unternehmen und verteuern das Bauen.</w:t>
      </w:r>
      <w:r>
        <w:rPr>
          <w:rFonts w:ascii="Arial" w:eastAsia="Times New Roman" w:hAnsi="Arial" w:cs="Arial"/>
          <w:sz w:val="22"/>
          <w:szCs w:val="24"/>
          <w:lang w:eastAsia="de-DE"/>
        </w:rPr>
        <w:t xml:space="preserve"> </w:t>
      </w:r>
      <w:r w:rsidR="00180440">
        <w:rPr>
          <w:rFonts w:ascii="Arial" w:hAnsi="Arial" w:cs="Arial"/>
          <w:sz w:val="22"/>
        </w:rPr>
        <w:t>D</w:t>
      </w:r>
      <w:r w:rsidRPr="001C6DC6">
        <w:rPr>
          <w:rFonts w:ascii="Arial" w:hAnsi="Arial" w:cs="Arial"/>
          <w:sz w:val="22"/>
        </w:rPr>
        <w:t xml:space="preserve">ie Refinanzierung </w:t>
      </w:r>
      <w:r w:rsidR="00180440">
        <w:rPr>
          <w:rFonts w:ascii="Arial" w:hAnsi="Arial" w:cs="Arial"/>
          <w:sz w:val="22"/>
        </w:rPr>
        <w:t xml:space="preserve">muss </w:t>
      </w:r>
      <w:r w:rsidRPr="001C6DC6">
        <w:rPr>
          <w:rFonts w:ascii="Arial" w:hAnsi="Arial" w:cs="Arial"/>
          <w:sz w:val="22"/>
        </w:rPr>
        <w:t>aus der laufenden Geschäftstätigkeit und damit angemessenen marktkonformen Miete</w:t>
      </w:r>
      <w:r>
        <w:rPr>
          <w:rFonts w:ascii="Arial" w:hAnsi="Arial" w:cs="Arial"/>
          <w:sz w:val="22"/>
        </w:rPr>
        <w:t>n</w:t>
      </w:r>
      <w:r w:rsidRPr="001C6DC6">
        <w:rPr>
          <w:rFonts w:ascii="Arial" w:hAnsi="Arial" w:cs="Arial"/>
          <w:sz w:val="22"/>
        </w:rPr>
        <w:t xml:space="preserve"> gewährleistet werden können.</w:t>
      </w:r>
    </w:p>
    <w:p w:rsidR="00BB60C0" w:rsidRPr="001C6DC6" w:rsidRDefault="00BB60C0" w:rsidP="00BB60C0">
      <w:pPr>
        <w:jc w:val="both"/>
        <w:rPr>
          <w:rFonts w:ascii="Arial" w:hAnsi="Arial" w:cs="Arial"/>
          <w:sz w:val="22"/>
        </w:rPr>
      </w:pPr>
    </w:p>
    <w:p w:rsidR="00BB60C0" w:rsidRDefault="00BB60C0" w:rsidP="00BB60C0">
      <w:pPr>
        <w:jc w:val="both"/>
        <w:rPr>
          <w:rFonts w:ascii="Arial" w:hAnsi="Arial" w:cs="Arial"/>
          <w:sz w:val="22"/>
        </w:rPr>
      </w:pPr>
      <w:r w:rsidRPr="001C6DC6">
        <w:rPr>
          <w:rFonts w:ascii="Arial" w:hAnsi="Arial" w:cs="Arial"/>
          <w:sz w:val="22"/>
        </w:rPr>
        <w:t>Die Einkommenssituation im Freistaat Thüringen</w:t>
      </w:r>
      <w:r w:rsidR="005F30CD">
        <w:rPr>
          <w:rFonts w:ascii="Arial" w:hAnsi="Arial" w:cs="Arial"/>
          <w:sz w:val="22"/>
        </w:rPr>
        <w:t>, die sich durch die Corona-Krise weiter ve</w:t>
      </w:r>
      <w:r w:rsidR="005F30CD">
        <w:rPr>
          <w:rFonts w:ascii="Arial" w:hAnsi="Arial" w:cs="Arial"/>
          <w:sz w:val="22"/>
        </w:rPr>
        <w:t>r</w:t>
      </w:r>
      <w:r w:rsidR="005F30CD">
        <w:rPr>
          <w:rFonts w:ascii="Arial" w:hAnsi="Arial" w:cs="Arial"/>
          <w:sz w:val="22"/>
        </w:rPr>
        <w:t>schlechtern wird, und</w:t>
      </w:r>
      <w:r w:rsidRPr="001C6DC6">
        <w:rPr>
          <w:rFonts w:ascii="Arial" w:hAnsi="Arial" w:cs="Arial"/>
          <w:sz w:val="22"/>
        </w:rPr>
        <w:t xml:space="preserve"> die demografische Entwicklung, der weitere Rückgang sowohl der B</w:t>
      </w:r>
      <w:r w:rsidRPr="001C6DC6">
        <w:rPr>
          <w:rFonts w:ascii="Arial" w:hAnsi="Arial" w:cs="Arial"/>
          <w:sz w:val="22"/>
        </w:rPr>
        <w:t>e</w:t>
      </w:r>
      <w:r w:rsidRPr="001C6DC6">
        <w:rPr>
          <w:rFonts w:ascii="Arial" w:hAnsi="Arial" w:cs="Arial"/>
          <w:sz w:val="22"/>
        </w:rPr>
        <w:t xml:space="preserve">völkerungszahl als auch der Zahl der Haushalte und damit verbunden ein Überangebot an Wohnraum setzen weiteren Mieterhöhungen Grenzen. Diese wären im Zuge des zweiten Sanierungszyklus aber dringend erforderlich. Wohnungsunternehmen können nur so viel investieren, wie sie vorher über die Mieten eingenommen haben. </w:t>
      </w:r>
    </w:p>
    <w:p w:rsidR="00BB60C0" w:rsidRPr="001C6DC6" w:rsidRDefault="00BB60C0" w:rsidP="00BB60C0">
      <w:pPr>
        <w:jc w:val="both"/>
        <w:rPr>
          <w:rFonts w:ascii="Arial" w:eastAsia="Times New Roman" w:hAnsi="Arial" w:cs="Arial"/>
          <w:sz w:val="22"/>
          <w:lang w:eastAsia="de-DE"/>
        </w:rPr>
      </w:pPr>
    </w:p>
    <w:p w:rsidR="00BB60C0" w:rsidRPr="001C6DC6" w:rsidRDefault="00BB60C0" w:rsidP="00BB60C0">
      <w:pPr>
        <w:jc w:val="both"/>
        <w:rPr>
          <w:rFonts w:ascii="Arial" w:hAnsi="Arial" w:cs="Arial"/>
          <w:sz w:val="22"/>
        </w:rPr>
      </w:pPr>
      <w:r w:rsidRPr="001C6DC6">
        <w:rPr>
          <w:rFonts w:ascii="Arial" w:hAnsi="Arial" w:cs="Arial"/>
          <w:sz w:val="22"/>
        </w:rPr>
        <w:t>Von Politik, Medien und Bürgern wird immer wieder der Charakter der Wohnung als Sozia</w:t>
      </w:r>
      <w:r w:rsidRPr="001C6DC6">
        <w:rPr>
          <w:rFonts w:ascii="Arial" w:hAnsi="Arial" w:cs="Arial"/>
          <w:sz w:val="22"/>
        </w:rPr>
        <w:t>l</w:t>
      </w:r>
      <w:r w:rsidRPr="001C6DC6">
        <w:rPr>
          <w:rFonts w:ascii="Arial" w:hAnsi="Arial" w:cs="Arial"/>
          <w:sz w:val="22"/>
        </w:rPr>
        <w:t>gut betont. Die Wohnung ist aber auch ein Wirtschaftsgut, ihr Bau und die Unterhaltung ko</w:t>
      </w:r>
      <w:r w:rsidRPr="001C6DC6">
        <w:rPr>
          <w:rFonts w:ascii="Arial" w:hAnsi="Arial" w:cs="Arial"/>
          <w:sz w:val="22"/>
        </w:rPr>
        <w:t>s</w:t>
      </w:r>
      <w:r w:rsidRPr="001C6DC6">
        <w:rPr>
          <w:rFonts w:ascii="Arial" w:hAnsi="Arial" w:cs="Arial"/>
          <w:sz w:val="22"/>
        </w:rPr>
        <w:t>ten viel Geld. Statt immer neue Forderungen gegenüber der Wohnungswirtschaft aufzum</w:t>
      </w:r>
      <w:r w:rsidRPr="001C6DC6">
        <w:rPr>
          <w:rFonts w:ascii="Arial" w:hAnsi="Arial" w:cs="Arial"/>
          <w:sz w:val="22"/>
        </w:rPr>
        <w:t>a</w:t>
      </w:r>
      <w:r w:rsidRPr="001C6DC6">
        <w:rPr>
          <w:rFonts w:ascii="Arial" w:hAnsi="Arial" w:cs="Arial"/>
          <w:sz w:val="22"/>
        </w:rPr>
        <w:t>chen, sollten Taten folgen. Die Sicherung bezahlbaren Wohnens ist eine gesamtgesellschaf</w:t>
      </w:r>
      <w:r w:rsidRPr="001C6DC6">
        <w:rPr>
          <w:rFonts w:ascii="Arial" w:hAnsi="Arial" w:cs="Arial"/>
          <w:sz w:val="22"/>
        </w:rPr>
        <w:t>t</w:t>
      </w:r>
      <w:r w:rsidRPr="001C6DC6">
        <w:rPr>
          <w:rFonts w:ascii="Arial" w:hAnsi="Arial" w:cs="Arial"/>
          <w:sz w:val="22"/>
        </w:rPr>
        <w:t>liche Aufgabe. Löhne und Gehälter, die nicht nur das Existenzminimum, sondern ein me</w:t>
      </w:r>
      <w:r w:rsidRPr="001C6DC6">
        <w:rPr>
          <w:rFonts w:ascii="Arial" w:hAnsi="Arial" w:cs="Arial"/>
          <w:sz w:val="22"/>
        </w:rPr>
        <w:t>n</w:t>
      </w:r>
      <w:r w:rsidRPr="001C6DC6">
        <w:rPr>
          <w:rFonts w:ascii="Arial" w:hAnsi="Arial" w:cs="Arial"/>
          <w:sz w:val="22"/>
        </w:rPr>
        <w:t xml:space="preserve">schenwürdiges Leben sichern, eine prosperierende Wirtschaft, deren Erfolge auch beim Letzten ankommen, machen Wohnen ebenfalls bezahlbar. Entscheidend ist nicht, die Mieten zu senken, sondern das Einkommen zu erhöhen. </w:t>
      </w:r>
    </w:p>
    <w:p w:rsidR="00BB60C0" w:rsidRPr="001C6DC6" w:rsidRDefault="00BB60C0" w:rsidP="00BB60C0">
      <w:pPr>
        <w:autoSpaceDE w:val="0"/>
        <w:autoSpaceDN w:val="0"/>
        <w:adjustRightInd w:val="0"/>
        <w:jc w:val="both"/>
        <w:rPr>
          <w:rFonts w:ascii="Arial" w:hAnsi="Arial" w:cs="Arial"/>
          <w:color w:val="000000"/>
          <w:sz w:val="22"/>
        </w:rPr>
      </w:pPr>
    </w:p>
    <w:p w:rsidR="00C838B9" w:rsidRPr="00BB60C0" w:rsidRDefault="00BB60C0" w:rsidP="00180440">
      <w:pPr>
        <w:jc w:val="both"/>
        <w:rPr>
          <w:rFonts w:ascii="Arial" w:hAnsi="Arial" w:cs="Arial"/>
        </w:rPr>
      </w:pPr>
      <w:proofErr w:type="spellStart"/>
      <w:r w:rsidRPr="001C6DC6">
        <w:rPr>
          <w:rFonts w:ascii="Arial" w:eastAsia="Times New Roman" w:hAnsi="Arial" w:cs="Arial"/>
          <w:sz w:val="22"/>
          <w:lang w:eastAsia="de-DE"/>
        </w:rPr>
        <w:t>ri.</w:t>
      </w:r>
      <w:proofErr w:type="spellEnd"/>
    </w:p>
    <w:sectPr w:rsidR="00C838B9" w:rsidRPr="00BB60C0" w:rsidSect="005F30CD">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C0"/>
    <w:rsid w:val="00000133"/>
    <w:rsid w:val="00001C5C"/>
    <w:rsid w:val="00006C95"/>
    <w:rsid w:val="00006F9E"/>
    <w:rsid w:val="00006FA5"/>
    <w:rsid w:val="00007DB7"/>
    <w:rsid w:val="00010EC6"/>
    <w:rsid w:val="00011A67"/>
    <w:rsid w:val="00011AE0"/>
    <w:rsid w:val="000124FB"/>
    <w:rsid w:val="000149D8"/>
    <w:rsid w:val="00015F40"/>
    <w:rsid w:val="00016275"/>
    <w:rsid w:val="00020967"/>
    <w:rsid w:val="00020E54"/>
    <w:rsid w:val="0002147A"/>
    <w:rsid w:val="00022AE9"/>
    <w:rsid w:val="00023978"/>
    <w:rsid w:val="000242A0"/>
    <w:rsid w:val="00024364"/>
    <w:rsid w:val="000243F8"/>
    <w:rsid w:val="00024A4B"/>
    <w:rsid w:val="00026B3A"/>
    <w:rsid w:val="00027AF7"/>
    <w:rsid w:val="00030522"/>
    <w:rsid w:val="00031951"/>
    <w:rsid w:val="00031BD3"/>
    <w:rsid w:val="00031C6F"/>
    <w:rsid w:val="00032EF4"/>
    <w:rsid w:val="000366C8"/>
    <w:rsid w:val="0003697C"/>
    <w:rsid w:val="00041B40"/>
    <w:rsid w:val="0004307E"/>
    <w:rsid w:val="00044DD9"/>
    <w:rsid w:val="0005304C"/>
    <w:rsid w:val="00053842"/>
    <w:rsid w:val="000548C7"/>
    <w:rsid w:val="000555F8"/>
    <w:rsid w:val="00057AF7"/>
    <w:rsid w:val="00062D82"/>
    <w:rsid w:val="00062FF4"/>
    <w:rsid w:val="00066C06"/>
    <w:rsid w:val="0006777C"/>
    <w:rsid w:val="00067F66"/>
    <w:rsid w:val="0007185A"/>
    <w:rsid w:val="00072069"/>
    <w:rsid w:val="00075BFF"/>
    <w:rsid w:val="00075DA1"/>
    <w:rsid w:val="000777D3"/>
    <w:rsid w:val="00081AD5"/>
    <w:rsid w:val="0008224A"/>
    <w:rsid w:val="00086367"/>
    <w:rsid w:val="0008666B"/>
    <w:rsid w:val="000868B4"/>
    <w:rsid w:val="000870DF"/>
    <w:rsid w:val="00087287"/>
    <w:rsid w:val="00087387"/>
    <w:rsid w:val="00091A5B"/>
    <w:rsid w:val="0009295A"/>
    <w:rsid w:val="000947EB"/>
    <w:rsid w:val="00094B52"/>
    <w:rsid w:val="00094C51"/>
    <w:rsid w:val="00096941"/>
    <w:rsid w:val="000A01FB"/>
    <w:rsid w:val="000A1BD7"/>
    <w:rsid w:val="000A1DAA"/>
    <w:rsid w:val="000A2253"/>
    <w:rsid w:val="000A3420"/>
    <w:rsid w:val="000A40C7"/>
    <w:rsid w:val="000A4D14"/>
    <w:rsid w:val="000A4D96"/>
    <w:rsid w:val="000A5B8C"/>
    <w:rsid w:val="000A5C94"/>
    <w:rsid w:val="000A6A63"/>
    <w:rsid w:val="000B074B"/>
    <w:rsid w:val="000B1646"/>
    <w:rsid w:val="000B19F1"/>
    <w:rsid w:val="000B2FC5"/>
    <w:rsid w:val="000B5AA1"/>
    <w:rsid w:val="000B78BD"/>
    <w:rsid w:val="000B7940"/>
    <w:rsid w:val="000C0FA5"/>
    <w:rsid w:val="000C28CF"/>
    <w:rsid w:val="000C42F2"/>
    <w:rsid w:val="000C5429"/>
    <w:rsid w:val="000C5E47"/>
    <w:rsid w:val="000C7B08"/>
    <w:rsid w:val="000D075E"/>
    <w:rsid w:val="000D0BBB"/>
    <w:rsid w:val="000D37AB"/>
    <w:rsid w:val="000D3B18"/>
    <w:rsid w:val="000D3CF2"/>
    <w:rsid w:val="000D4811"/>
    <w:rsid w:val="000D4B2F"/>
    <w:rsid w:val="000D521D"/>
    <w:rsid w:val="000D5507"/>
    <w:rsid w:val="000D6067"/>
    <w:rsid w:val="000D61DB"/>
    <w:rsid w:val="000D7C7F"/>
    <w:rsid w:val="000E014F"/>
    <w:rsid w:val="000E06BF"/>
    <w:rsid w:val="000E1F9D"/>
    <w:rsid w:val="000E4B51"/>
    <w:rsid w:val="000E5EC9"/>
    <w:rsid w:val="000E638C"/>
    <w:rsid w:val="000E742F"/>
    <w:rsid w:val="000F0E89"/>
    <w:rsid w:val="000F13D5"/>
    <w:rsid w:val="000F19EC"/>
    <w:rsid w:val="0010016E"/>
    <w:rsid w:val="001005A7"/>
    <w:rsid w:val="00100BA0"/>
    <w:rsid w:val="0010280C"/>
    <w:rsid w:val="001035E0"/>
    <w:rsid w:val="0010392B"/>
    <w:rsid w:val="001045D6"/>
    <w:rsid w:val="00104FFD"/>
    <w:rsid w:val="00106315"/>
    <w:rsid w:val="001107D8"/>
    <w:rsid w:val="001115AE"/>
    <w:rsid w:val="0011239A"/>
    <w:rsid w:val="001140B4"/>
    <w:rsid w:val="00115FB8"/>
    <w:rsid w:val="001178DD"/>
    <w:rsid w:val="00121323"/>
    <w:rsid w:val="001216D6"/>
    <w:rsid w:val="0012295A"/>
    <w:rsid w:val="0012510E"/>
    <w:rsid w:val="001261F9"/>
    <w:rsid w:val="00126EA4"/>
    <w:rsid w:val="00130B86"/>
    <w:rsid w:val="00132391"/>
    <w:rsid w:val="00132440"/>
    <w:rsid w:val="00132AAB"/>
    <w:rsid w:val="00132F6B"/>
    <w:rsid w:val="0013560C"/>
    <w:rsid w:val="001363B5"/>
    <w:rsid w:val="00136DD2"/>
    <w:rsid w:val="0014108F"/>
    <w:rsid w:val="001431C4"/>
    <w:rsid w:val="00144216"/>
    <w:rsid w:val="00150FD5"/>
    <w:rsid w:val="0015166C"/>
    <w:rsid w:val="001529B5"/>
    <w:rsid w:val="00154C39"/>
    <w:rsid w:val="0015590E"/>
    <w:rsid w:val="00155BFD"/>
    <w:rsid w:val="00155F17"/>
    <w:rsid w:val="001603AD"/>
    <w:rsid w:val="001647D2"/>
    <w:rsid w:val="001660A2"/>
    <w:rsid w:val="00166D41"/>
    <w:rsid w:val="00166FAE"/>
    <w:rsid w:val="00167CCB"/>
    <w:rsid w:val="001701EB"/>
    <w:rsid w:val="001712DA"/>
    <w:rsid w:val="00171CAB"/>
    <w:rsid w:val="00174101"/>
    <w:rsid w:val="0017575A"/>
    <w:rsid w:val="001761A6"/>
    <w:rsid w:val="00180440"/>
    <w:rsid w:val="00181286"/>
    <w:rsid w:val="00181DDD"/>
    <w:rsid w:val="001836A0"/>
    <w:rsid w:val="0018441E"/>
    <w:rsid w:val="00184E15"/>
    <w:rsid w:val="00185E5E"/>
    <w:rsid w:val="00191F87"/>
    <w:rsid w:val="001921AE"/>
    <w:rsid w:val="001948BF"/>
    <w:rsid w:val="00195087"/>
    <w:rsid w:val="00196CB9"/>
    <w:rsid w:val="00197163"/>
    <w:rsid w:val="001A05D4"/>
    <w:rsid w:val="001A0941"/>
    <w:rsid w:val="001A1032"/>
    <w:rsid w:val="001A2CF5"/>
    <w:rsid w:val="001A2F1F"/>
    <w:rsid w:val="001A4E0D"/>
    <w:rsid w:val="001A4E40"/>
    <w:rsid w:val="001B20E2"/>
    <w:rsid w:val="001C0DF6"/>
    <w:rsid w:val="001C250F"/>
    <w:rsid w:val="001C527B"/>
    <w:rsid w:val="001C6703"/>
    <w:rsid w:val="001D05C1"/>
    <w:rsid w:val="001D0C52"/>
    <w:rsid w:val="001D2056"/>
    <w:rsid w:val="001D245D"/>
    <w:rsid w:val="001D3B62"/>
    <w:rsid w:val="001D4FE7"/>
    <w:rsid w:val="001D7A3F"/>
    <w:rsid w:val="001D7C1A"/>
    <w:rsid w:val="001E1222"/>
    <w:rsid w:val="001E12FC"/>
    <w:rsid w:val="001E381D"/>
    <w:rsid w:val="001E38C3"/>
    <w:rsid w:val="001E4768"/>
    <w:rsid w:val="001E7C3A"/>
    <w:rsid w:val="001F0CDE"/>
    <w:rsid w:val="001F1AF9"/>
    <w:rsid w:val="001F2D9F"/>
    <w:rsid w:val="001F2FF2"/>
    <w:rsid w:val="001F532E"/>
    <w:rsid w:val="001F7BFD"/>
    <w:rsid w:val="00201477"/>
    <w:rsid w:val="00203B01"/>
    <w:rsid w:val="00205DB4"/>
    <w:rsid w:val="002079BD"/>
    <w:rsid w:val="00211E65"/>
    <w:rsid w:val="002127CC"/>
    <w:rsid w:val="002158E5"/>
    <w:rsid w:val="0021600B"/>
    <w:rsid w:val="00216A46"/>
    <w:rsid w:val="00217F60"/>
    <w:rsid w:val="00220949"/>
    <w:rsid w:val="00220B6D"/>
    <w:rsid w:val="00220FF5"/>
    <w:rsid w:val="00223649"/>
    <w:rsid w:val="00223E7E"/>
    <w:rsid w:val="00230187"/>
    <w:rsid w:val="002315D7"/>
    <w:rsid w:val="00233BE6"/>
    <w:rsid w:val="00240A98"/>
    <w:rsid w:val="002410D7"/>
    <w:rsid w:val="00243D11"/>
    <w:rsid w:val="00244CEE"/>
    <w:rsid w:val="00246B8B"/>
    <w:rsid w:val="00247A09"/>
    <w:rsid w:val="002516BA"/>
    <w:rsid w:val="00251D01"/>
    <w:rsid w:val="00255C47"/>
    <w:rsid w:val="00262752"/>
    <w:rsid w:val="002627CB"/>
    <w:rsid w:val="00266FBB"/>
    <w:rsid w:val="00267B23"/>
    <w:rsid w:val="002703C3"/>
    <w:rsid w:val="00274CE7"/>
    <w:rsid w:val="00275E32"/>
    <w:rsid w:val="002763C2"/>
    <w:rsid w:val="00280B16"/>
    <w:rsid w:val="00286068"/>
    <w:rsid w:val="00286E2D"/>
    <w:rsid w:val="0028704E"/>
    <w:rsid w:val="00287FA9"/>
    <w:rsid w:val="00290271"/>
    <w:rsid w:val="00290689"/>
    <w:rsid w:val="00290ECA"/>
    <w:rsid w:val="0029407E"/>
    <w:rsid w:val="0029423B"/>
    <w:rsid w:val="00294D03"/>
    <w:rsid w:val="0029626A"/>
    <w:rsid w:val="00297A1F"/>
    <w:rsid w:val="00297BF0"/>
    <w:rsid w:val="002A0A89"/>
    <w:rsid w:val="002A11B1"/>
    <w:rsid w:val="002A1C5A"/>
    <w:rsid w:val="002A23D8"/>
    <w:rsid w:val="002A3E43"/>
    <w:rsid w:val="002A50BC"/>
    <w:rsid w:val="002A6AE7"/>
    <w:rsid w:val="002B2292"/>
    <w:rsid w:val="002B2DD0"/>
    <w:rsid w:val="002B43F8"/>
    <w:rsid w:val="002B4796"/>
    <w:rsid w:val="002B6780"/>
    <w:rsid w:val="002B6F99"/>
    <w:rsid w:val="002B7A22"/>
    <w:rsid w:val="002C4F24"/>
    <w:rsid w:val="002C5AF2"/>
    <w:rsid w:val="002D0D8A"/>
    <w:rsid w:val="002D1DF3"/>
    <w:rsid w:val="002D6A38"/>
    <w:rsid w:val="002E14CB"/>
    <w:rsid w:val="002E39EE"/>
    <w:rsid w:val="002E4A09"/>
    <w:rsid w:val="002F0EFC"/>
    <w:rsid w:val="002F134E"/>
    <w:rsid w:val="002F1591"/>
    <w:rsid w:val="002F16BC"/>
    <w:rsid w:val="002F23BD"/>
    <w:rsid w:val="002F26E8"/>
    <w:rsid w:val="002F40C1"/>
    <w:rsid w:val="002F4E72"/>
    <w:rsid w:val="003007C7"/>
    <w:rsid w:val="00301AE5"/>
    <w:rsid w:val="00302022"/>
    <w:rsid w:val="0030257D"/>
    <w:rsid w:val="0030328B"/>
    <w:rsid w:val="0030361D"/>
    <w:rsid w:val="003049B7"/>
    <w:rsid w:val="003056B7"/>
    <w:rsid w:val="00306A03"/>
    <w:rsid w:val="0030770C"/>
    <w:rsid w:val="00311546"/>
    <w:rsid w:val="0031344A"/>
    <w:rsid w:val="00313E12"/>
    <w:rsid w:val="003157DF"/>
    <w:rsid w:val="003159B3"/>
    <w:rsid w:val="00317828"/>
    <w:rsid w:val="00317A4F"/>
    <w:rsid w:val="00317E0A"/>
    <w:rsid w:val="003205B1"/>
    <w:rsid w:val="00320D97"/>
    <w:rsid w:val="00323289"/>
    <w:rsid w:val="00324272"/>
    <w:rsid w:val="00327B96"/>
    <w:rsid w:val="00327E61"/>
    <w:rsid w:val="003308FC"/>
    <w:rsid w:val="00332A97"/>
    <w:rsid w:val="003345B4"/>
    <w:rsid w:val="00335B71"/>
    <w:rsid w:val="003373BE"/>
    <w:rsid w:val="003377A1"/>
    <w:rsid w:val="00341D24"/>
    <w:rsid w:val="00343195"/>
    <w:rsid w:val="00344E46"/>
    <w:rsid w:val="00345595"/>
    <w:rsid w:val="0034680A"/>
    <w:rsid w:val="00347D96"/>
    <w:rsid w:val="003513EB"/>
    <w:rsid w:val="0035183D"/>
    <w:rsid w:val="00351CB0"/>
    <w:rsid w:val="00352C93"/>
    <w:rsid w:val="00353FBD"/>
    <w:rsid w:val="00355204"/>
    <w:rsid w:val="0035597D"/>
    <w:rsid w:val="003567B8"/>
    <w:rsid w:val="00357D63"/>
    <w:rsid w:val="003621BD"/>
    <w:rsid w:val="00364DDF"/>
    <w:rsid w:val="00367338"/>
    <w:rsid w:val="003708B0"/>
    <w:rsid w:val="00375DE3"/>
    <w:rsid w:val="00376295"/>
    <w:rsid w:val="00376DA9"/>
    <w:rsid w:val="00382239"/>
    <w:rsid w:val="003825D7"/>
    <w:rsid w:val="003836CE"/>
    <w:rsid w:val="00386DC0"/>
    <w:rsid w:val="00390967"/>
    <w:rsid w:val="00390BFD"/>
    <w:rsid w:val="00391082"/>
    <w:rsid w:val="003939C6"/>
    <w:rsid w:val="003952A4"/>
    <w:rsid w:val="0039699C"/>
    <w:rsid w:val="00396B9F"/>
    <w:rsid w:val="00397988"/>
    <w:rsid w:val="00397D01"/>
    <w:rsid w:val="003A252B"/>
    <w:rsid w:val="003A304B"/>
    <w:rsid w:val="003A4E59"/>
    <w:rsid w:val="003A53D3"/>
    <w:rsid w:val="003B2790"/>
    <w:rsid w:val="003B62C9"/>
    <w:rsid w:val="003B65C6"/>
    <w:rsid w:val="003C16B4"/>
    <w:rsid w:val="003C5DD1"/>
    <w:rsid w:val="003D136B"/>
    <w:rsid w:val="003D3B4E"/>
    <w:rsid w:val="003D3BBB"/>
    <w:rsid w:val="003D3C23"/>
    <w:rsid w:val="003D4C7A"/>
    <w:rsid w:val="003D5393"/>
    <w:rsid w:val="003D57FC"/>
    <w:rsid w:val="003D5F73"/>
    <w:rsid w:val="003D697E"/>
    <w:rsid w:val="003D6BC8"/>
    <w:rsid w:val="003D75CC"/>
    <w:rsid w:val="003E0BF0"/>
    <w:rsid w:val="003E1D2A"/>
    <w:rsid w:val="003E1D74"/>
    <w:rsid w:val="003E225F"/>
    <w:rsid w:val="003E3F2B"/>
    <w:rsid w:val="003E4323"/>
    <w:rsid w:val="003E7A70"/>
    <w:rsid w:val="003E7BED"/>
    <w:rsid w:val="003F1F4A"/>
    <w:rsid w:val="003F34AA"/>
    <w:rsid w:val="003F37EA"/>
    <w:rsid w:val="003F5955"/>
    <w:rsid w:val="003F78C2"/>
    <w:rsid w:val="003F79D6"/>
    <w:rsid w:val="00400F6F"/>
    <w:rsid w:val="00403813"/>
    <w:rsid w:val="004039F3"/>
    <w:rsid w:val="00407E27"/>
    <w:rsid w:val="004136CC"/>
    <w:rsid w:val="00414A47"/>
    <w:rsid w:val="0041541F"/>
    <w:rsid w:val="0042012A"/>
    <w:rsid w:val="004249DB"/>
    <w:rsid w:val="00426D56"/>
    <w:rsid w:val="0042735C"/>
    <w:rsid w:val="0043095E"/>
    <w:rsid w:val="004335ED"/>
    <w:rsid w:val="00433F5B"/>
    <w:rsid w:val="00434B78"/>
    <w:rsid w:val="00434E4C"/>
    <w:rsid w:val="00441E95"/>
    <w:rsid w:val="004420BD"/>
    <w:rsid w:val="00443023"/>
    <w:rsid w:val="004433CB"/>
    <w:rsid w:val="004441D8"/>
    <w:rsid w:val="0044501E"/>
    <w:rsid w:val="004454F1"/>
    <w:rsid w:val="004459E6"/>
    <w:rsid w:val="00447ACB"/>
    <w:rsid w:val="004507D0"/>
    <w:rsid w:val="0045428A"/>
    <w:rsid w:val="00454499"/>
    <w:rsid w:val="00454CFC"/>
    <w:rsid w:val="00457420"/>
    <w:rsid w:val="004622FC"/>
    <w:rsid w:val="0046383B"/>
    <w:rsid w:val="00463E18"/>
    <w:rsid w:val="004662D2"/>
    <w:rsid w:val="00466A84"/>
    <w:rsid w:val="00471676"/>
    <w:rsid w:val="004721AD"/>
    <w:rsid w:val="00474B6B"/>
    <w:rsid w:val="004834CE"/>
    <w:rsid w:val="00484FBC"/>
    <w:rsid w:val="00484FE1"/>
    <w:rsid w:val="004852AF"/>
    <w:rsid w:val="0048584E"/>
    <w:rsid w:val="00485F83"/>
    <w:rsid w:val="00487A4C"/>
    <w:rsid w:val="00487EEB"/>
    <w:rsid w:val="0049065D"/>
    <w:rsid w:val="00491317"/>
    <w:rsid w:val="00492105"/>
    <w:rsid w:val="00495117"/>
    <w:rsid w:val="004973B4"/>
    <w:rsid w:val="004A060B"/>
    <w:rsid w:val="004A0E25"/>
    <w:rsid w:val="004A3CF6"/>
    <w:rsid w:val="004A3FE7"/>
    <w:rsid w:val="004A5918"/>
    <w:rsid w:val="004A5A82"/>
    <w:rsid w:val="004B0A5F"/>
    <w:rsid w:val="004B2914"/>
    <w:rsid w:val="004B5866"/>
    <w:rsid w:val="004C14CB"/>
    <w:rsid w:val="004D0E23"/>
    <w:rsid w:val="004D2623"/>
    <w:rsid w:val="004D7466"/>
    <w:rsid w:val="004E1472"/>
    <w:rsid w:val="004E3192"/>
    <w:rsid w:val="004E51AC"/>
    <w:rsid w:val="004E6B3C"/>
    <w:rsid w:val="004E6F41"/>
    <w:rsid w:val="004E7022"/>
    <w:rsid w:val="004F02A5"/>
    <w:rsid w:val="004F0997"/>
    <w:rsid w:val="004F2F71"/>
    <w:rsid w:val="004F470A"/>
    <w:rsid w:val="004F4929"/>
    <w:rsid w:val="004F4975"/>
    <w:rsid w:val="004F70F0"/>
    <w:rsid w:val="004F7E5A"/>
    <w:rsid w:val="00500B33"/>
    <w:rsid w:val="00501E54"/>
    <w:rsid w:val="0050234F"/>
    <w:rsid w:val="00502711"/>
    <w:rsid w:val="005046F4"/>
    <w:rsid w:val="005064B4"/>
    <w:rsid w:val="0050707D"/>
    <w:rsid w:val="005078A9"/>
    <w:rsid w:val="005104AF"/>
    <w:rsid w:val="00510D93"/>
    <w:rsid w:val="00513061"/>
    <w:rsid w:val="005144EB"/>
    <w:rsid w:val="00514664"/>
    <w:rsid w:val="0052037F"/>
    <w:rsid w:val="005205B8"/>
    <w:rsid w:val="00522386"/>
    <w:rsid w:val="00522BE1"/>
    <w:rsid w:val="00524350"/>
    <w:rsid w:val="00525F5C"/>
    <w:rsid w:val="00526073"/>
    <w:rsid w:val="00527B9D"/>
    <w:rsid w:val="00530BE0"/>
    <w:rsid w:val="00531E17"/>
    <w:rsid w:val="00531E93"/>
    <w:rsid w:val="00533E79"/>
    <w:rsid w:val="0053406B"/>
    <w:rsid w:val="00534966"/>
    <w:rsid w:val="00535E01"/>
    <w:rsid w:val="00535FC6"/>
    <w:rsid w:val="00537804"/>
    <w:rsid w:val="00537A88"/>
    <w:rsid w:val="00542299"/>
    <w:rsid w:val="00543590"/>
    <w:rsid w:val="005452ED"/>
    <w:rsid w:val="00546178"/>
    <w:rsid w:val="005462B3"/>
    <w:rsid w:val="005479AB"/>
    <w:rsid w:val="005501D8"/>
    <w:rsid w:val="0055051A"/>
    <w:rsid w:val="00553C52"/>
    <w:rsid w:val="005551A8"/>
    <w:rsid w:val="005574CF"/>
    <w:rsid w:val="00560D7D"/>
    <w:rsid w:val="00561178"/>
    <w:rsid w:val="00561EA0"/>
    <w:rsid w:val="00562046"/>
    <w:rsid w:val="00563AE5"/>
    <w:rsid w:val="00564684"/>
    <w:rsid w:val="00565E4B"/>
    <w:rsid w:val="00566433"/>
    <w:rsid w:val="00566AFF"/>
    <w:rsid w:val="0057073E"/>
    <w:rsid w:val="00570A86"/>
    <w:rsid w:val="00570F68"/>
    <w:rsid w:val="005723D6"/>
    <w:rsid w:val="00573BFD"/>
    <w:rsid w:val="0057603D"/>
    <w:rsid w:val="00583744"/>
    <w:rsid w:val="00583FF9"/>
    <w:rsid w:val="00585E60"/>
    <w:rsid w:val="00586173"/>
    <w:rsid w:val="005876E7"/>
    <w:rsid w:val="005878E3"/>
    <w:rsid w:val="005917A2"/>
    <w:rsid w:val="00591DEE"/>
    <w:rsid w:val="005973FA"/>
    <w:rsid w:val="005A009E"/>
    <w:rsid w:val="005A17C5"/>
    <w:rsid w:val="005A275B"/>
    <w:rsid w:val="005A2EF5"/>
    <w:rsid w:val="005A3A83"/>
    <w:rsid w:val="005A5E13"/>
    <w:rsid w:val="005A5F23"/>
    <w:rsid w:val="005A626F"/>
    <w:rsid w:val="005A6F59"/>
    <w:rsid w:val="005A7CBA"/>
    <w:rsid w:val="005B023C"/>
    <w:rsid w:val="005B49FE"/>
    <w:rsid w:val="005C0010"/>
    <w:rsid w:val="005C05D2"/>
    <w:rsid w:val="005C0CC7"/>
    <w:rsid w:val="005C1AA5"/>
    <w:rsid w:val="005C61AA"/>
    <w:rsid w:val="005D1880"/>
    <w:rsid w:val="005D316A"/>
    <w:rsid w:val="005D44F1"/>
    <w:rsid w:val="005D5371"/>
    <w:rsid w:val="005D59BE"/>
    <w:rsid w:val="005D5C55"/>
    <w:rsid w:val="005D6D4F"/>
    <w:rsid w:val="005D6FBE"/>
    <w:rsid w:val="005E2D06"/>
    <w:rsid w:val="005E63B5"/>
    <w:rsid w:val="005E6F11"/>
    <w:rsid w:val="005F097F"/>
    <w:rsid w:val="005F30CD"/>
    <w:rsid w:val="005F375F"/>
    <w:rsid w:val="005F38F0"/>
    <w:rsid w:val="005F657F"/>
    <w:rsid w:val="005F6D1E"/>
    <w:rsid w:val="005F6ED5"/>
    <w:rsid w:val="005F737D"/>
    <w:rsid w:val="00601117"/>
    <w:rsid w:val="00601648"/>
    <w:rsid w:val="00604CF8"/>
    <w:rsid w:val="00604D73"/>
    <w:rsid w:val="00605C69"/>
    <w:rsid w:val="0061306E"/>
    <w:rsid w:val="00615824"/>
    <w:rsid w:val="0062037B"/>
    <w:rsid w:val="00622BDA"/>
    <w:rsid w:val="006248DA"/>
    <w:rsid w:val="00625D4D"/>
    <w:rsid w:val="0062688E"/>
    <w:rsid w:val="0063024B"/>
    <w:rsid w:val="0063037A"/>
    <w:rsid w:val="00630C0B"/>
    <w:rsid w:val="00631D34"/>
    <w:rsid w:val="00633D2E"/>
    <w:rsid w:val="00633EBD"/>
    <w:rsid w:val="0063467B"/>
    <w:rsid w:val="00634E54"/>
    <w:rsid w:val="00636666"/>
    <w:rsid w:val="00641C8F"/>
    <w:rsid w:val="006421E2"/>
    <w:rsid w:val="006457EE"/>
    <w:rsid w:val="006511F2"/>
    <w:rsid w:val="00651BE5"/>
    <w:rsid w:val="00653FAF"/>
    <w:rsid w:val="006549B4"/>
    <w:rsid w:val="0065500B"/>
    <w:rsid w:val="0065617C"/>
    <w:rsid w:val="006565C1"/>
    <w:rsid w:val="0065745A"/>
    <w:rsid w:val="00657E68"/>
    <w:rsid w:val="00663C30"/>
    <w:rsid w:val="00667BED"/>
    <w:rsid w:val="006711DF"/>
    <w:rsid w:val="0067242D"/>
    <w:rsid w:val="00672EC9"/>
    <w:rsid w:val="00674D24"/>
    <w:rsid w:val="006754C8"/>
    <w:rsid w:val="006765FA"/>
    <w:rsid w:val="00680D93"/>
    <w:rsid w:val="00681B0F"/>
    <w:rsid w:val="00681EA3"/>
    <w:rsid w:val="00683642"/>
    <w:rsid w:val="00685B3B"/>
    <w:rsid w:val="00685F19"/>
    <w:rsid w:val="00685F69"/>
    <w:rsid w:val="00686555"/>
    <w:rsid w:val="00686C52"/>
    <w:rsid w:val="00686F85"/>
    <w:rsid w:val="0069066F"/>
    <w:rsid w:val="00692418"/>
    <w:rsid w:val="00695AE1"/>
    <w:rsid w:val="006960C4"/>
    <w:rsid w:val="00696178"/>
    <w:rsid w:val="00696394"/>
    <w:rsid w:val="006A01F1"/>
    <w:rsid w:val="006A1566"/>
    <w:rsid w:val="006A176B"/>
    <w:rsid w:val="006A25F7"/>
    <w:rsid w:val="006A285B"/>
    <w:rsid w:val="006A2A78"/>
    <w:rsid w:val="006A3C8F"/>
    <w:rsid w:val="006A711A"/>
    <w:rsid w:val="006B05F0"/>
    <w:rsid w:val="006B6595"/>
    <w:rsid w:val="006B6F37"/>
    <w:rsid w:val="006B77F0"/>
    <w:rsid w:val="006C0C1A"/>
    <w:rsid w:val="006C1EB6"/>
    <w:rsid w:val="006C2376"/>
    <w:rsid w:val="006C459C"/>
    <w:rsid w:val="006C5EAE"/>
    <w:rsid w:val="006C70A3"/>
    <w:rsid w:val="006D01BD"/>
    <w:rsid w:val="006D2B30"/>
    <w:rsid w:val="006D6F4E"/>
    <w:rsid w:val="006D7E6F"/>
    <w:rsid w:val="006E1E6C"/>
    <w:rsid w:val="006E48F0"/>
    <w:rsid w:val="006E5932"/>
    <w:rsid w:val="006E7BB6"/>
    <w:rsid w:val="006F07A3"/>
    <w:rsid w:val="006F5619"/>
    <w:rsid w:val="006F6ACC"/>
    <w:rsid w:val="006F7FA4"/>
    <w:rsid w:val="00700698"/>
    <w:rsid w:val="0070135E"/>
    <w:rsid w:val="0070240A"/>
    <w:rsid w:val="00702F13"/>
    <w:rsid w:val="00702F32"/>
    <w:rsid w:val="00703998"/>
    <w:rsid w:val="00712B1B"/>
    <w:rsid w:val="00716664"/>
    <w:rsid w:val="00716801"/>
    <w:rsid w:val="0071712E"/>
    <w:rsid w:val="00724157"/>
    <w:rsid w:val="007249FC"/>
    <w:rsid w:val="0073062D"/>
    <w:rsid w:val="007311F4"/>
    <w:rsid w:val="007345C2"/>
    <w:rsid w:val="007350A4"/>
    <w:rsid w:val="0073539B"/>
    <w:rsid w:val="007377C7"/>
    <w:rsid w:val="00741D86"/>
    <w:rsid w:val="00745008"/>
    <w:rsid w:val="0074502F"/>
    <w:rsid w:val="00747F0A"/>
    <w:rsid w:val="0075158D"/>
    <w:rsid w:val="00751BE6"/>
    <w:rsid w:val="00752EC5"/>
    <w:rsid w:val="0075439B"/>
    <w:rsid w:val="00756809"/>
    <w:rsid w:val="00757CA7"/>
    <w:rsid w:val="00760BB3"/>
    <w:rsid w:val="00761DCD"/>
    <w:rsid w:val="007632B5"/>
    <w:rsid w:val="00763A02"/>
    <w:rsid w:val="00764C1F"/>
    <w:rsid w:val="007655D5"/>
    <w:rsid w:val="007662B2"/>
    <w:rsid w:val="00766580"/>
    <w:rsid w:val="00766DAA"/>
    <w:rsid w:val="00770EDD"/>
    <w:rsid w:val="00771B26"/>
    <w:rsid w:val="00771E2A"/>
    <w:rsid w:val="00773C3D"/>
    <w:rsid w:val="00777E78"/>
    <w:rsid w:val="007823CE"/>
    <w:rsid w:val="00783C1F"/>
    <w:rsid w:val="00784F11"/>
    <w:rsid w:val="00787F7A"/>
    <w:rsid w:val="00791127"/>
    <w:rsid w:val="00792F2F"/>
    <w:rsid w:val="0079376B"/>
    <w:rsid w:val="007947F5"/>
    <w:rsid w:val="007958A0"/>
    <w:rsid w:val="0079644E"/>
    <w:rsid w:val="007A172D"/>
    <w:rsid w:val="007A3BA5"/>
    <w:rsid w:val="007A45AD"/>
    <w:rsid w:val="007A4855"/>
    <w:rsid w:val="007B35D8"/>
    <w:rsid w:val="007B3952"/>
    <w:rsid w:val="007B4779"/>
    <w:rsid w:val="007B4DDF"/>
    <w:rsid w:val="007B62A0"/>
    <w:rsid w:val="007C0396"/>
    <w:rsid w:val="007C112D"/>
    <w:rsid w:val="007C1858"/>
    <w:rsid w:val="007C1F36"/>
    <w:rsid w:val="007C371A"/>
    <w:rsid w:val="007C3977"/>
    <w:rsid w:val="007C471B"/>
    <w:rsid w:val="007C4E5F"/>
    <w:rsid w:val="007C6130"/>
    <w:rsid w:val="007D0612"/>
    <w:rsid w:val="007D122B"/>
    <w:rsid w:val="007D13FE"/>
    <w:rsid w:val="007D2B8B"/>
    <w:rsid w:val="007D5B0F"/>
    <w:rsid w:val="007D6AB0"/>
    <w:rsid w:val="007D704C"/>
    <w:rsid w:val="007E0E60"/>
    <w:rsid w:val="007E16AD"/>
    <w:rsid w:val="007E5A1C"/>
    <w:rsid w:val="007E5D46"/>
    <w:rsid w:val="007E7DED"/>
    <w:rsid w:val="007F0005"/>
    <w:rsid w:val="007F0D43"/>
    <w:rsid w:val="007F1131"/>
    <w:rsid w:val="00800300"/>
    <w:rsid w:val="00802A3C"/>
    <w:rsid w:val="00802BED"/>
    <w:rsid w:val="00802C26"/>
    <w:rsid w:val="00804D43"/>
    <w:rsid w:val="00806A84"/>
    <w:rsid w:val="0080738F"/>
    <w:rsid w:val="00807C72"/>
    <w:rsid w:val="008102C6"/>
    <w:rsid w:val="00810612"/>
    <w:rsid w:val="008129A3"/>
    <w:rsid w:val="008133EF"/>
    <w:rsid w:val="00814E3C"/>
    <w:rsid w:val="008160B3"/>
    <w:rsid w:val="00816421"/>
    <w:rsid w:val="008168C4"/>
    <w:rsid w:val="00817A73"/>
    <w:rsid w:val="00817E96"/>
    <w:rsid w:val="00820322"/>
    <w:rsid w:val="008204CB"/>
    <w:rsid w:val="00821DDA"/>
    <w:rsid w:val="008237E2"/>
    <w:rsid w:val="00827491"/>
    <w:rsid w:val="00831BC8"/>
    <w:rsid w:val="008373B9"/>
    <w:rsid w:val="008400F7"/>
    <w:rsid w:val="0084259B"/>
    <w:rsid w:val="00842E94"/>
    <w:rsid w:val="00843A77"/>
    <w:rsid w:val="0084611F"/>
    <w:rsid w:val="008475BC"/>
    <w:rsid w:val="00853582"/>
    <w:rsid w:val="00854108"/>
    <w:rsid w:val="00854CA3"/>
    <w:rsid w:val="008552A9"/>
    <w:rsid w:val="00855B35"/>
    <w:rsid w:val="00855F69"/>
    <w:rsid w:val="008569AE"/>
    <w:rsid w:val="008576E7"/>
    <w:rsid w:val="0086024C"/>
    <w:rsid w:val="00862654"/>
    <w:rsid w:val="00862756"/>
    <w:rsid w:val="00862D78"/>
    <w:rsid w:val="00863B89"/>
    <w:rsid w:val="00865D7F"/>
    <w:rsid w:val="00866999"/>
    <w:rsid w:val="00870653"/>
    <w:rsid w:val="008706A6"/>
    <w:rsid w:val="00871814"/>
    <w:rsid w:val="0087182B"/>
    <w:rsid w:val="008729B3"/>
    <w:rsid w:val="00873006"/>
    <w:rsid w:val="00873400"/>
    <w:rsid w:val="00873A13"/>
    <w:rsid w:val="008740AF"/>
    <w:rsid w:val="0087638D"/>
    <w:rsid w:val="00882979"/>
    <w:rsid w:val="00883C7F"/>
    <w:rsid w:val="008901E4"/>
    <w:rsid w:val="00890356"/>
    <w:rsid w:val="008914FB"/>
    <w:rsid w:val="00893B40"/>
    <w:rsid w:val="008950A8"/>
    <w:rsid w:val="00895281"/>
    <w:rsid w:val="00895724"/>
    <w:rsid w:val="008963F2"/>
    <w:rsid w:val="008A36F8"/>
    <w:rsid w:val="008A3BF7"/>
    <w:rsid w:val="008A5BF4"/>
    <w:rsid w:val="008A5CDE"/>
    <w:rsid w:val="008A5F30"/>
    <w:rsid w:val="008B01F3"/>
    <w:rsid w:val="008B0377"/>
    <w:rsid w:val="008B0BDE"/>
    <w:rsid w:val="008B2870"/>
    <w:rsid w:val="008B2EAC"/>
    <w:rsid w:val="008B4CD5"/>
    <w:rsid w:val="008B4F68"/>
    <w:rsid w:val="008C2976"/>
    <w:rsid w:val="008C3777"/>
    <w:rsid w:val="008C4FF2"/>
    <w:rsid w:val="008C5099"/>
    <w:rsid w:val="008C594E"/>
    <w:rsid w:val="008C5A1E"/>
    <w:rsid w:val="008C6CF0"/>
    <w:rsid w:val="008D14F1"/>
    <w:rsid w:val="008D1CB4"/>
    <w:rsid w:val="008D3E6D"/>
    <w:rsid w:val="008D405D"/>
    <w:rsid w:val="008D6440"/>
    <w:rsid w:val="008E633C"/>
    <w:rsid w:val="008E66C5"/>
    <w:rsid w:val="008E7492"/>
    <w:rsid w:val="008F250E"/>
    <w:rsid w:val="008F3135"/>
    <w:rsid w:val="008F4715"/>
    <w:rsid w:val="008F4C56"/>
    <w:rsid w:val="008F675F"/>
    <w:rsid w:val="008F7653"/>
    <w:rsid w:val="00900404"/>
    <w:rsid w:val="00900A3E"/>
    <w:rsid w:val="0090428A"/>
    <w:rsid w:val="00906378"/>
    <w:rsid w:val="009104C3"/>
    <w:rsid w:val="009116F2"/>
    <w:rsid w:val="00912442"/>
    <w:rsid w:val="00912466"/>
    <w:rsid w:val="009126C8"/>
    <w:rsid w:val="009133C9"/>
    <w:rsid w:val="0091695F"/>
    <w:rsid w:val="00916DFC"/>
    <w:rsid w:val="009172ED"/>
    <w:rsid w:val="009177BD"/>
    <w:rsid w:val="0092244C"/>
    <w:rsid w:val="00922A72"/>
    <w:rsid w:val="0092343B"/>
    <w:rsid w:val="0092381B"/>
    <w:rsid w:val="00923882"/>
    <w:rsid w:val="00923C47"/>
    <w:rsid w:val="00924B8C"/>
    <w:rsid w:val="00925023"/>
    <w:rsid w:val="00931325"/>
    <w:rsid w:val="00933234"/>
    <w:rsid w:val="00935BC1"/>
    <w:rsid w:val="00936DA3"/>
    <w:rsid w:val="00937FB7"/>
    <w:rsid w:val="00941C1E"/>
    <w:rsid w:val="0094314A"/>
    <w:rsid w:val="009443F7"/>
    <w:rsid w:val="00944C6B"/>
    <w:rsid w:val="0094572A"/>
    <w:rsid w:val="00947094"/>
    <w:rsid w:val="009471F9"/>
    <w:rsid w:val="009475BF"/>
    <w:rsid w:val="00956387"/>
    <w:rsid w:val="009575BE"/>
    <w:rsid w:val="009600FC"/>
    <w:rsid w:val="00961F26"/>
    <w:rsid w:val="009635D0"/>
    <w:rsid w:val="0096361B"/>
    <w:rsid w:val="00963947"/>
    <w:rsid w:val="00966282"/>
    <w:rsid w:val="00970694"/>
    <w:rsid w:val="00972D06"/>
    <w:rsid w:val="00973143"/>
    <w:rsid w:val="00973525"/>
    <w:rsid w:val="0097371B"/>
    <w:rsid w:val="0097404C"/>
    <w:rsid w:val="00975A6A"/>
    <w:rsid w:val="00976EEB"/>
    <w:rsid w:val="00980FFB"/>
    <w:rsid w:val="009815F6"/>
    <w:rsid w:val="00984F13"/>
    <w:rsid w:val="00985111"/>
    <w:rsid w:val="00986BA8"/>
    <w:rsid w:val="009938B0"/>
    <w:rsid w:val="00993959"/>
    <w:rsid w:val="009947BB"/>
    <w:rsid w:val="0099612B"/>
    <w:rsid w:val="009A0B1B"/>
    <w:rsid w:val="009A239C"/>
    <w:rsid w:val="009A31AC"/>
    <w:rsid w:val="009A442C"/>
    <w:rsid w:val="009A50B9"/>
    <w:rsid w:val="009A62A8"/>
    <w:rsid w:val="009A6D59"/>
    <w:rsid w:val="009A6F64"/>
    <w:rsid w:val="009B370F"/>
    <w:rsid w:val="009B57FE"/>
    <w:rsid w:val="009B5978"/>
    <w:rsid w:val="009B6994"/>
    <w:rsid w:val="009B7899"/>
    <w:rsid w:val="009B78EB"/>
    <w:rsid w:val="009C5803"/>
    <w:rsid w:val="009C5B2A"/>
    <w:rsid w:val="009C5DA1"/>
    <w:rsid w:val="009D08F5"/>
    <w:rsid w:val="009D0E91"/>
    <w:rsid w:val="009D1AE6"/>
    <w:rsid w:val="009D3B6F"/>
    <w:rsid w:val="009D444B"/>
    <w:rsid w:val="009D511F"/>
    <w:rsid w:val="009D5F47"/>
    <w:rsid w:val="009D6DD9"/>
    <w:rsid w:val="009E3F23"/>
    <w:rsid w:val="009F0B21"/>
    <w:rsid w:val="009F2DD9"/>
    <w:rsid w:val="00A05F89"/>
    <w:rsid w:val="00A06784"/>
    <w:rsid w:val="00A10B05"/>
    <w:rsid w:val="00A13594"/>
    <w:rsid w:val="00A13849"/>
    <w:rsid w:val="00A14E9E"/>
    <w:rsid w:val="00A15325"/>
    <w:rsid w:val="00A16D88"/>
    <w:rsid w:val="00A247DA"/>
    <w:rsid w:val="00A2503A"/>
    <w:rsid w:val="00A25637"/>
    <w:rsid w:val="00A25E6E"/>
    <w:rsid w:val="00A27170"/>
    <w:rsid w:val="00A30625"/>
    <w:rsid w:val="00A322E3"/>
    <w:rsid w:val="00A33CA4"/>
    <w:rsid w:val="00A34A32"/>
    <w:rsid w:val="00A34AFA"/>
    <w:rsid w:val="00A36F27"/>
    <w:rsid w:val="00A4004D"/>
    <w:rsid w:val="00A40538"/>
    <w:rsid w:val="00A40894"/>
    <w:rsid w:val="00A423F3"/>
    <w:rsid w:val="00A4445F"/>
    <w:rsid w:val="00A44A63"/>
    <w:rsid w:val="00A44A8C"/>
    <w:rsid w:val="00A4509F"/>
    <w:rsid w:val="00A45EBF"/>
    <w:rsid w:val="00A465ED"/>
    <w:rsid w:val="00A47572"/>
    <w:rsid w:val="00A50633"/>
    <w:rsid w:val="00A51D66"/>
    <w:rsid w:val="00A53639"/>
    <w:rsid w:val="00A54DFD"/>
    <w:rsid w:val="00A566A5"/>
    <w:rsid w:val="00A57DED"/>
    <w:rsid w:val="00A61E2A"/>
    <w:rsid w:val="00A62031"/>
    <w:rsid w:val="00A6347C"/>
    <w:rsid w:val="00A63821"/>
    <w:rsid w:val="00A640EE"/>
    <w:rsid w:val="00A65AE0"/>
    <w:rsid w:val="00A662CF"/>
    <w:rsid w:val="00A66701"/>
    <w:rsid w:val="00A66A56"/>
    <w:rsid w:val="00A66B79"/>
    <w:rsid w:val="00A67121"/>
    <w:rsid w:val="00A708D6"/>
    <w:rsid w:val="00A75323"/>
    <w:rsid w:val="00A801A7"/>
    <w:rsid w:val="00A80FF7"/>
    <w:rsid w:val="00A8196E"/>
    <w:rsid w:val="00A81AD3"/>
    <w:rsid w:val="00A81E75"/>
    <w:rsid w:val="00A8230D"/>
    <w:rsid w:val="00A82467"/>
    <w:rsid w:val="00A82506"/>
    <w:rsid w:val="00A855FE"/>
    <w:rsid w:val="00A906AF"/>
    <w:rsid w:val="00A9523C"/>
    <w:rsid w:val="00A9624A"/>
    <w:rsid w:val="00A97F14"/>
    <w:rsid w:val="00AA1473"/>
    <w:rsid w:val="00AA4B3C"/>
    <w:rsid w:val="00AA4E27"/>
    <w:rsid w:val="00AA714E"/>
    <w:rsid w:val="00AA74A9"/>
    <w:rsid w:val="00AB2016"/>
    <w:rsid w:val="00AB45AF"/>
    <w:rsid w:val="00AB5EB8"/>
    <w:rsid w:val="00AB6A98"/>
    <w:rsid w:val="00AB6EAF"/>
    <w:rsid w:val="00AB7818"/>
    <w:rsid w:val="00AB7FF1"/>
    <w:rsid w:val="00AC1325"/>
    <w:rsid w:val="00AC1EF8"/>
    <w:rsid w:val="00AC22C0"/>
    <w:rsid w:val="00AC37F2"/>
    <w:rsid w:val="00AC44D1"/>
    <w:rsid w:val="00AC4C39"/>
    <w:rsid w:val="00AC7353"/>
    <w:rsid w:val="00AD122F"/>
    <w:rsid w:val="00AD2777"/>
    <w:rsid w:val="00AD496C"/>
    <w:rsid w:val="00AD5C18"/>
    <w:rsid w:val="00AD5F1D"/>
    <w:rsid w:val="00AD67C4"/>
    <w:rsid w:val="00AE2204"/>
    <w:rsid w:val="00AE2EEB"/>
    <w:rsid w:val="00AE431D"/>
    <w:rsid w:val="00AE4EA2"/>
    <w:rsid w:val="00AE5E99"/>
    <w:rsid w:val="00AE651A"/>
    <w:rsid w:val="00AF380A"/>
    <w:rsid w:val="00AF4E56"/>
    <w:rsid w:val="00AF613E"/>
    <w:rsid w:val="00AF687B"/>
    <w:rsid w:val="00AF6B31"/>
    <w:rsid w:val="00AF7DD3"/>
    <w:rsid w:val="00B005A7"/>
    <w:rsid w:val="00B0198C"/>
    <w:rsid w:val="00B02F17"/>
    <w:rsid w:val="00B056DB"/>
    <w:rsid w:val="00B057E3"/>
    <w:rsid w:val="00B06035"/>
    <w:rsid w:val="00B076EC"/>
    <w:rsid w:val="00B07744"/>
    <w:rsid w:val="00B12D31"/>
    <w:rsid w:val="00B15226"/>
    <w:rsid w:val="00B15D11"/>
    <w:rsid w:val="00B17EBE"/>
    <w:rsid w:val="00B23D7F"/>
    <w:rsid w:val="00B279A3"/>
    <w:rsid w:val="00B31164"/>
    <w:rsid w:val="00B31AF7"/>
    <w:rsid w:val="00B31F30"/>
    <w:rsid w:val="00B32DDD"/>
    <w:rsid w:val="00B34705"/>
    <w:rsid w:val="00B34E16"/>
    <w:rsid w:val="00B35C4F"/>
    <w:rsid w:val="00B446F7"/>
    <w:rsid w:val="00B44C1B"/>
    <w:rsid w:val="00B46472"/>
    <w:rsid w:val="00B46B29"/>
    <w:rsid w:val="00B4744D"/>
    <w:rsid w:val="00B50A5B"/>
    <w:rsid w:val="00B50F1F"/>
    <w:rsid w:val="00B52F2C"/>
    <w:rsid w:val="00B55ACA"/>
    <w:rsid w:val="00B5708D"/>
    <w:rsid w:val="00B57278"/>
    <w:rsid w:val="00B5763E"/>
    <w:rsid w:val="00B60E5A"/>
    <w:rsid w:val="00B62085"/>
    <w:rsid w:val="00B67BE2"/>
    <w:rsid w:val="00B7067D"/>
    <w:rsid w:val="00B70D39"/>
    <w:rsid w:val="00B740B3"/>
    <w:rsid w:val="00B743BF"/>
    <w:rsid w:val="00B75526"/>
    <w:rsid w:val="00B83F39"/>
    <w:rsid w:val="00B85923"/>
    <w:rsid w:val="00B85A98"/>
    <w:rsid w:val="00B8636A"/>
    <w:rsid w:val="00B868AD"/>
    <w:rsid w:val="00B901E1"/>
    <w:rsid w:val="00B92478"/>
    <w:rsid w:val="00B9266C"/>
    <w:rsid w:val="00B934E6"/>
    <w:rsid w:val="00B9353A"/>
    <w:rsid w:val="00B939FA"/>
    <w:rsid w:val="00B941FE"/>
    <w:rsid w:val="00B94AD9"/>
    <w:rsid w:val="00B95FFB"/>
    <w:rsid w:val="00BA3FE4"/>
    <w:rsid w:val="00BA61CF"/>
    <w:rsid w:val="00BB02BD"/>
    <w:rsid w:val="00BB1310"/>
    <w:rsid w:val="00BB4FBF"/>
    <w:rsid w:val="00BB60C0"/>
    <w:rsid w:val="00BB7CDD"/>
    <w:rsid w:val="00BC10D1"/>
    <w:rsid w:val="00BC32CC"/>
    <w:rsid w:val="00BC3EB8"/>
    <w:rsid w:val="00BC6CFE"/>
    <w:rsid w:val="00BC6D94"/>
    <w:rsid w:val="00BD0DFD"/>
    <w:rsid w:val="00BD2EEE"/>
    <w:rsid w:val="00BD5466"/>
    <w:rsid w:val="00BD591E"/>
    <w:rsid w:val="00BD5DD9"/>
    <w:rsid w:val="00BD696E"/>
    <w:rsid w:val="00BE0136"/>
    <w:rsid w:val="00BE5CC6"/>
    <w:rsid w:val="00BE6A1A"/>
    <w:rsid w:val="00BE7E79"/>
    <w:rsid w:val="00BE7EBA"/>
    <w:rsid w:val="00BF0B91"/>
    <w:rsid w:val="00BF14C1"/>
    <w:rsid w:val="00BF16B2"/>
    <w:rsid w:val="00BF21D3"/>
    <w:rsid w:val="00BF35C4"/>
    <w:rsid w:val="00BF5644"/>
    <w:rsid w:val="00BF791F"/>
    <w:rsid w:val="00BF7C8C"/>
    <w:rsid w:val="00C01094"/>
    <w:rsid w:val="00C01907"/>
    <w:rsid w:val="00C026CF"/>
    <w:rsid w:val="00C1311D"/>
    <w:rsid w:val="00C15CED"/>
    <w:rsid w:val="00C17CE9"/>
    <w:rsid w:val="00C21A74"/>
    <w:rsid w:val="00C235A9"/>
    <w:rsid w:val="00C23F82"/>
    <w:rsid w:val="00C25329"/>
    <w:rsid w:val="00C25480"/>
    <w:rsid w:val="00C26FFE"/>
    <w:rsid w:val="00C3040A"/>
    <w:rsid w:val="00C31B7A"/>
    <w:rsid w:val="00C364C6"/>
    <w:rsid w:val="00C4021F"/>
    <w:rsid w:val="00C424C0"/>
    <w:rsid w:val="00C43FAB"/>
    <w:rsid w:val="00C44715"/>
    <w:rsid w:val="00C44C12"/>
    <w:rsid w:val="00C4732F"/>
    <w:rsid w:val="00C50C22"/>
    <w:rsid w:val="00C521C6"/>
    <w:rsid w:val="00C53807"/>
    <w:rsid w:val="00C562D8"/>
    <w:rsid w:val="00C579E5"/>
    <w:rsid w:val="00C602BE"/>
    <w:rsid w:val="00C60F64"/>
    <w:rsid w:val="00C615A7"/>
    <w:rsid w:val="00C61DAA"/>
    <w:rsid w:val="00C62D4F"/>
    <w:rsid w:val="00C62F7A"/>
    <w:rsid w:val="00C64A1B"/>
    <w:rsid w:val="00C65467"/>
    <w:rsid w:val="00C65F1B"/>
    <w:rsid w:val="00C6736A"/>
    <w:rsid w:val="00C679B1"/>
    <w:rsid w:val="00C703E0"/>
    <w:rsid w:val="00C726D0"/>
    <w:rsid w:val="00C74E6F"/>
    <w:rsid w:val="00C7558F"/>
    <w:rsid w:val="00C766F5"/>
    <w:rsid w:val="00C800A4"/>
    <w:rsid w:val="00C838B9"/>
    <w:rsid w:val="00C8428E"/>
    <w:rsid w:val="00C91F8E"/>
    <w:rsid w:val="00C9558C"/>
    <w:rsid w:val="00CA2422"/>
    <w:rsid w:val="00CA5D42"/>
    <w:rsid w:val="00CA6E94"/>
    <w:rsid w:val="00CA70D5"/>
    <w:rsid w:val="00CB02E6"/>
    <w:rsid w:val="00CB202F"/>
    <w:rsid w:val="00CB3B81"/>
    <w:rsid w:val="00CB41DA"/>
    <w:rsid w:val="00CB4A92"/>
    <w:rsid w:val="00CB5942"/>
    <w:rsid w:val="00CB5A94"/>
    <w:rsid w:val="00CC044D"/>
    <w:rsid w:val="00CC1103"/>
    <w:rsid w:val="00CC22C4"/>
    <w:rsid w:val="00CC25C0"/>
    <w:rsid w:val="00CC2788"/>
    <w:rsid w:val="00CC53A9"/>
    <w:rsid w:val="00CC678E"/>
    <w:rsid w:val="00CD00EC"/>
    <w:rsid w:val="00CD02BA"/>
    <w:rsid w:val="00CD7E2A"/>
    <w:rsid w:val="00CE08EA"/>
    <w:rsid w:val="00CE2DA1"/>
    <w:rsid w:val="00CE3F5D"/>
    <w:rsid w:val="00CE482E"/>
    <w:rsid w:val="00CE6606"/>
    <w:rsid w:val="00CE6C64"/>
    <w:rsid w:val="00CF05A4"/>
    <w:rsid w:val="00CF3AF8"/>
    <w:rsid w:val="00CF54F3"/>
    <w:rsid w:val="00CF59E6"/>
    <w:rsid w:val="00CF600B"/>
    <w:rsid w:val="00CF69BA"/>
    <w:rsid w:val="00CF71EE"/>
    <w:rsid w:val="00D00008"/>
    <w:rsid w:val="00D017C2"/>
    <w:rsid w:val="00D023AD"/>
    <w:rsid w:val="00D0336D"/>
    <w:rsid w:val="00D03BE6"/>
    <w:rsid w:val="00D0774F"/>
    <w:rsid w:val="00D07914"/>
    <w:rsid w:val="00D1005C"/>
    <w:rsid w:val="00D10CB6"/>
    <w:rsid w:val="00D11B50"/>
    <w:rsid w:val="00D135D4"/>
    <w:rsid w:val="00D17144"/>
    <w:rsid w:val="00D21F20"/>
    <w:rsid w:val="00D2465D"/>
    <w:rsid w:val="00D25288"/>
    <w:rsid w:val="00D26A23"/>
    <w:rsid w:val="00D26D56"/>
    <w:rsid w:val="00D273BF"/>
    <w:rsid w:val="00D30BE2"/>
    <w:rsid w:val="00D30C85"/>
    <w:rsid w:val="00D3197C"/>
    <w:rsid w:val="00D31F8A"/>
    <w:rsid w:val="00D32056"/>
    <w:rsid w:val="00D408FC"/>
    <w:rsid w:val="00D40AEC"/>
    <w:rsid w:val="00D41E69"/>
    <w:rsid w:val="00D43C8A"/>
    <w:rsid w:val="00D504D5"/>
    <w:rsid w:val="00D50844"/>
    <w:rsid w:val="00D55187"/>
    <w:rsid w:val="00D56737"/>
    <w:rsid w:val="00D56BE5"/>
    <w:rsid w:val="00D6236B"/>
    <w:rsid w:val="00D64E37"/>
    <w:rsid w:val="00D65111"/>
    <w:rsid w:val="00D656D2"/>
    <w:rsid w:val="00D66524"/>
    <w:rsid w:val="00D66A8D"/>
    <w:rsid w:val="00D67C02"/>
    <w:rsid w:val="00D72EB2"/>
    <w:rsid w:val="00D73BE0"/>
    <w:rsid w:val="00D7502A"/>
    <w:rsid w:val="00D7584A"/>
    <w:rsid w:val="00D77504"/>
    <w:rsid w:val="00D808B4"/>
    <w:rsid w:val="00D83223"/>
    <w:rsid w:val="00D83FCD"/>
    <w:rsid w:val="00D879CD"/>
    <w:rsid w:val="00D87B35"/>
    <w:rsid w:val="00D930CE"/>
    <w:rsid w:val="00D9410F"/>
    <w:rsid w:val="00D95B3E"/>
    <w:rsid w:val="00DA09AE"/>
    <w:rsid w:val="00DA390D"/>
    <w:rsid w:val="00DA4696"/>
    <w:rsid w:val="00DA6B23"/>
    <w:rsid w:val="00DA6CD9"/>
    <w:rsid w:val="00DB1974"/>
    <w:rsid w:val="00DB21F5"/>
    <w:rsid w:val="00DC228D"/>
    <w:rsid w:val="00DC73B9"/>
    <w:rsid w:val="00DC7D1D"/>
    <w:rsid w:val="00DD07F3"/>
    <w:rsid w:val="00DD08FC"/>
    <w:rsid w:val="00DD3DDB"/>
    <w:rsid w:val="00DD5316"/>
    <w:rsid w:val="00DE0C9E"/>
    <w:rsid w:val="00DE133F"/>
    <w:rsid w:val="00DE1D34"/>
    <w:rsid w:val="00DE2F12"/>
    <w:rsid w:val="00DE563F"/>
    <w:rsid w:val="00DE61B9"/>
    <w:rsid w:val="00DE6961"/>
    <w:rsid w:val="00DF07EF"/>
    <w:rsid w:val="00DF2DA1"/>
    <w:rsid w:val="00DF3F77"/>
    <w:rsid w:val="00DF4A21"/>
    <w:rsid w:val="00DF5262"/>
    <w:rsid w:val="00DF55D9"/>
    <w:rsid w:val="00DF587E"/>
    <w:rsid w:val="00DF7B0C"/>
    <w:rsid w:val="00E00190"/>
    <w:rsid w:val="00E00648"/>
    <w:rsid w:val="00E0768A"/>
    <w:rsid w:val="00E11688"/>
    <w:rsid w:val="00E14D71"/>
    <w:rsid w:val="00E23028"/>
    <w:rsid w:val="00E24133"/>
    <w:rsid w:val="00E246F4"/>
    <w:rsid w:val="00E26654"/>
    <w:rsid w:val="00E30312"/>
    <w:rsid w:val="00E30778"/>
    <w:rsid w:val="00E3161B"/>
    <w:rsid w:val="00E32612"/>
    <w:rsid w:val="00E32F48"/>
    <w:rsid w:val="00E33343"/>
    <w:rsid w:val="00E349E9"/>
    <w:rsid w:val="00E3514C"/>
    <w:rsid w:val="00E37F10"/>
    <w:rsid w:val="00E42508"/>
    <w:rsid w:val="00E46EFA"/>
    <w:rsid w:val="00E47F3B"/>
    <w:rsid w:val="00E50544"/>
    <w:rsid w:val="00E52FB7"/>
    <w:rsid w:val="00E5388D"/>
    <w:rsid w:val="00E54A13"/>
    <w:rsid w:val="00E54E79"/>
    <w:rsid w:val="00E555E6"/>
    <w:rsid w:val="00E565B2"/>
    <w:rsid w:val="00E5686D"/>
    <w:rsid w:val="00E57FC7"/>
    <w:rsid w:val="00E6047B"/>
    <w:rsid w:val="00E60779"/>
    <w:rsid w:val="00E6167A"/>
    <w:rsid w:val="00E65A93"/>
    <w:rsid w:val="00E67037"/>
    <w:rsid w:val="00E702B2"/>
    <w:rsid w:val="00E70C43"/>
    <w:rsid w:val="00E7179A"/>
    <w:rsid w:val="00E720A4"/>
    <w:rsid w:val="00E72840"/>
    <w:rsid w:val="00E759DF"/>
    <w:rsid w:val="00E76A2F"/>
    <w:rsid w:val="00E77894"/>
    <w:rsid w:val="00E77CBE"/>
    <w:rsid w:val="00E8024A"/>
    <w:rsid w:val="00E84944"/>
    <w:rsid w:val="00E8563F"/>
    <w:rsid w:val="00E87408"/>
    <w:rsid w:val="00E9052D"/>
    <w:rsid w:val="00E90DC4"/>
    <w:rsid w:val="00E92A46"/>
    <w:rsid w:val="00E92D0D"/>
    <w:rsid w:val="00E9454D"/>
    <w:rsid w:val="00E94EBF"/>
    <w:rsid w:val="00E953C5"/>
    <w:rsid w:val="00E95970"/>
    <w:rsid w:val="00E96324"/>
    <w:rsid w:val="00E97CB7"/>
    <w:rsid w:val="00EA1738"/>
    <w:rsid w:val="00EA238B"/>
    <w:rsid w:val="00EA251E"/>
    <w:rsid w:val="00EA3EC9"/>
    <w:rsid w:val="00EA446F"/>
    <w:rsid w:val="00EA5877"/>
    <w:rsid w:val="00EB04F9"/>
    <w:rsid w:val="00EB166E"/>
    <w:rsid w:val="00EB4187"/>
    <w:rsid w:val="00EB484F"/>
    <w:rsid w:val="00EC1B1B"/>
    <w:rsid w:val="00EC2E0B"/>
    <w:rsid w:val="00EC4093"/>
    <w:rsid w:val="00EC63A3"/>
    <w:rsid w:val="00EC7526"/>
    <w:rsid w:val="00EC772B"/>
    <w:rsid w:val="00EC7DDE"/>
    <w:rsid w:val="00ED0D8D"/>
    <w:rsid w:val="00ED23CB"/>
    <w:rsid w:val="00ED5EC1"/>
    <w:rsid w:val="00ED6B4C"/>
    <w:rsid w:val="00EE1A81"/>
    <w:rsid w:val="00EE278A"/>
    <w:rsid w:val="00EE3D28"/>
    <w:rsid w:val="00EE4557"/>
    <w:rsid w:val="00EE6506"/>
    <w:rsid w:val="00EE6EB8"/>
    <w:rsid w:val="00EF165B"/>
    <w:rsid w:val="00EF1FEE"/>
    <w:rsid w:val="00EF4993"/>
    <w:rsid w:val="00EF4A68"/>
    <w:rsid w:val="00EF5D3B"/>
    <w:rsid w:val="00F0327F"/>
    <w:rsid w:val="00F04940"/>
    <w:rsid w:val="00F058C0"/>
    <w:rsid w:val="00F05F5F"/>
    <w:rsid w:val="00F064D4"/>
    <w:rsid w:val="00F107DB"/>
    <w:rsid w:val="00F13183"/>
    <w:rsid w:val="00F13360"/>
    <w:rsid w:val="00F151DD"/>
    <w:rsid w:val="00F16AD2"/>
    <w:rsid w:val="00F16B65"/>
    <w:rsid w:val="00F20493"/>
    <w:rsid w:val="00F207D0"/>
    <w:rsid w:val="00F21B79"/>
    <w:rsid w:val="00F22FF5"/>
    <w:rsid w:val="00F23371"/>
    <w:rsid w:val="00F238B7"/>
    <w:rsid w:val="00F24268"/>
    <w:rsid w:val="00F27173"/>
    <w:rsid w:val="00F3046A"/>
    <w:rsid w:val="00F312C5"/>
    <w:rsid w:val="00F326DE"/>
    <w:rsid w:val="00F3336F"/>
    <w:rsid w:val="00F3632D"/>
    <w:rsid w:val="00F40C22"/>
    <w:rsid w:val="00F40D5E"/>
    <w:rsid w:val="00F41F63"/>
    <w:rsid w:val="00F4206A"/>
    <w:rsid w:val="00F43655"/>
    <w:rsid w:val="00F45632"/>
    <w:rsid w:val="00F4636D"/>
    <w:rsid w:val="00F46A2E"/>
    <w:rsid w:val="00F47E76"/>
    <w:rsid w:val="00F50FB6"/>
    <w:rsid w:val="00F51BD2"/>
    <w:rsid w:val="00F52234"/>
    <w:rsid w:val="00F53CF7"/>
    <w:rsid w:val="00F53E49"/>
    <w:rsid w:val="00F55215"/>
    <w:rsid w:val="00F55321"/>
    <w:rsid w:val="00F565BD"/>
    <w:rsid w:val="00F57DF5"/>
    <w:rsid w:val="00F603EF"/>
    <w:rsid w:val="00F60AD2"/>
    <w:rsid w:val="00F61515"/>
    <w:rsid w:val="00F63722"/>
    <w:rsid w:val="00F637C0"/>
    <w:rsid w:val="00F64917"/>
    <w:rsid w:val="00F65732"/>
    <w:rsid w:val="00F657F2"/>
    <w:rsid w:val="00F67929"/>
    <w:rsid w:val="00F70894"/>
    <w:rsid w:val="00F7113B"/>
    <w:rsid w:val="00F72AAC"/>
    <w:rsid w:val="00F72D9B"/>
    <w:rsid w:val="00F735AE"/>
    <w:rsid w:val="00F8295D"/>
    <w:rsid w:val="00F83438"/>
    <w:rsid w:val="00F84E74"/>
    <w:rsid w:val="00F859FD"/>
    <w:rsid w:val="00F86782"/>
    <w:rsid w:val="00F86D31"/>
    <w:rsid w:val="00F87D51"/>
    <w:rsid w:val="00F925AF"/>
    <w:rsid w:val="00F9271F"/>
    <w:rsid w:val="00F96D15"/>
    <w:rsid w:val="00F97D3E"/>
    <w:rsid w:val="00FA19A6"/>
    <w:rsid w:val="00FA206C"/>
    <w:rsid w:val="00FA2BF5"/>
    <w:rsid w:val="00FA3016"/>
    <w:rsid w:val="00FA3A92"/>
    <w:rsid w:val="00FA4412"/>
    <w:rsid w:val="00FA44E4"/>
    <w:rsid w:val="00FA6DEE"/>
    <w:rsid w:val="00FA7D9B"/>
    <w:rsid w:val="00FB549D"/>
    <w:rsid w:val="00FB5653"/>
    <w:rsid w:val="00FB7FEB"/>
    <w:rsid w:val="00FC0121"/>
    <w:rsid w:val="00FC1042"/>
    <w:rsid w:val="00FC223D"/>
    <w:rsid w:val="00FC26D0"/>
    <w:rsid w:val="00FC2A4C"/>
    <w:rsid w:val="00FC31A1"/>
    <w:rsid w:val="00FC3682"/>
    <w:rsid w:val="00FC4361"/>
    <w:rsid w:val="00FC5D8E"/>
    <w:rsid w:val="00FC6CDB"/>
    <w:rsid w:val="00FD241B"/>
    <w:rsid w:val="00FD3D88"/>
    <w:rsid w:val="00FD6137"/>
    <w:rsid w:val="00FD6DD1"/>
    <w:rsid w:val="00FE1374"/>
    <w:rsid w:val="00FE4359"/>
    <w:rsid w:val="00FE66B9"/>
    <w:rsid w:val="00FF0535"/>
    <w:rsid w:val="00FF0772"/>
    <w:rsid w:val="00FF1691"/>
    <w:rsid w:val="00FF5068"/>
    <w:rsid w:val="00FF576F"/>
    <w:rsid w:val="00FF7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60C0"/>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uiPriority w:val="99"/>
    <w:semiHidden/>
    <w:unhideWhenUsed/>
    <w:rsid w:val="00BB60C0"/>
  </w:style>
  <w:style w:type="paragraph" w:styleId="StandardWeb">
    <w:name w:val="Normal (Web)"/>
    <w:basedOn w:val="Standard"/>
    <w:uiPriority w:val="99"/>
    <w:unhideWhenUsed/>
    <w:rsid w:val="00BB60C0"/>
    <w:pPr>
      <w:spacing w:before="100" w:beforeAutospacing="1" w:after="100" w:afterAutospacing="1"/>
    </w:pPr>
    <w:rPr>
      <w:rFonts w:eastAsia="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60C0"/>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Akronym">
    <w:name w:val="HTML Acronym"/>
    <w:basedOn w:val="Absatz-Standardschriftart"/>
    <w:uiPriority w:val="99"/>
    <w:semiHidden/>
    <w:unhideWhenUsed/>
    <w:rsid w:val="00BB60C0"/>
  </w:style>
  <w:style w:type="paragraph" w:styleId="StandardWeb">
    <w:name w:val="Normal (Web)"/>
    <w:basedOn w:val="Standard"/>
    <w:uiPriority w:val="99"/>
    <w:unhideWhenUsed/>
    <w:rsid w:val="00BB60C0"/>
    <w:pPr>
      <w:spacing w:before="100" w:beforeAutospacing="1" w:after="100" w:afterAutospacing="1"/>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3185</Words>
  <Characters>20069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irichardt</dc:creator>
  <cp:lastModifiedBy>irichardt</cp:lastModifiedBy>
  <cp:revision>15</cp:revision>
  <dcterms:created xsi:type="dcterms:W3CDTF">2020-04-16T07:26:00Z</dcterms:created>
  <dcterms:modified xsi:type="dcterms:W3CDTF">2020-04-21T14:03:00Z</dcterms:modified>
</cp:coreProperties>
</file>