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610D" w14:textId="2B2D3C7C" w:rsidR="000617F0" w:rsidRPr="000617F0" w:rsidRDefault="000617F0" w:rsidP="000617F0">
      <w:pPr>
        <w:rPr>
          <w:rFonts w:ascii="Arial" w:eastAsia="Times New Roman" w:hAnsi="Arial" w:cs="Arial"/>
          <w:b/>
          <w:sz w:val="28"/>
          <w:szCs w:val="28"/>
          <w:lang w:eastAsia="de-DE"/>
        </w:rPr>
      </w:pPr>
      <w:r w:rsidRPr="000617F0">
        <w:rPr>
          <w:rFonts w:ascii="Arial" w:eastAsia="Times New Roman" w:hAnsi="Arial" w:cs="Arial"/>
          <w:b/>
          <w:sz w:val="28"/>
          <w:szCs w:val="28"/>
          <w:lang w:eastAsia="de-DE"/>
        </w:rPr>
        <w:t xml:space="preserve">Textbausteine für den Geschäftsbericht 2023 – Stand </w:t>
      </w:r>
      <w:r w:rsidR="002D6984">
        <w:rPr>
          <w:rFonts w:ascii="Arial" w:eastAsia="Times New Roman" w:hAnsi="Arial" w:cs="Arial"/>
          <w:b/>
          <w:sz w:val="28"/>
          <w:szCs w:val="28"/>
          <w:lang w:eastAsia="de-DE"/>
        </w:rPr>
        <w:t>April</w:t>
      </w:r>
      <w:r w:rsidRPr="000617F0">
        <w:rPr>
          <w:rFonts w:ascii="Arial" w:eastAsia="Times New Roman" w:hAnsi="Arial" w:cs="Arial"/>
          <w:b/>
          <w:sz w:val="28"/>
          <w:szCs w:val="28"/>
          <w:lang w:eastAsia="de-DE"/>
        </w:rPr>
        <w:t xml:space="preserve"> 2024</w:t>
      </w:r>
    </w:p>
    <w:p w14:paraId="6BE6818B" w14:textId="77777777" w:rsidR="000617F0" w:rsidRPr="000617F0" w:rsidRDefault="000617F0" w:rsidP="000617F0">
      <w:pPr>
        <w:rPr>
          <w:rFonts w:ascii="Arial" w:eastAsia="Times New Roman" w:hAnsi="Arial" w:cs="Arial"/>
          <w:sz w:val="22"/>
          <w:lang w:eastAsia="de-DE"/>
        </w:rPr>
      </w:pPr>
    </w:p>
    <w:p w14:paraId="4B3D636E" w14:textId="2EE931B5" w:rsidR="00373488" w:rsidRPr="00632DCC" w:rsidRDefault="00373488" w:rsidP="00373488">
      <w:pPr>
        <w:rPr>
          <w:rFonts w:ascii="Arial" w:eastAsia="Times New Roman" w:hAnsi="Arial" w:cs="Arial"/>
          <w:sz w:val="22"/>
          <w:lang w:eastAsia="de-DE"/>
        </w:rPr>
      </w:pPr>
      <w:r w:rsidRPr="00632DCC">
        <w:rPr>
          <w:rFonts w:ascii="Arial" w:eastAsia="Times New Roman" w:hAnsi="Arial" w:cs="Arial"/>
          <w:sz w:val="22"/>
          <w:lang w:eastAsia="de-DE"/>
        </w:rPr>
        <w:t xml:space="preserve">Nachfolgend stellen wir – wie in den Vorjahren – interessierten Wohnungsunternehmen eine </w:t>
      </w:r>
      <w:r>
        <w:rPr>
          <w:rFonts w:ascii="Arial" w:eastAsia="Times New Roman" w:hAnsi="Arial" w:cs="Arial"/>
          <w:sz w:val="22"/>
          <w:lang w:eastAsia="de-DE"/>
        </w:rPr>
        <w:t>aktualisierte</w:t>
      </w:r>
      <w:r w:rsidRPr="00632DCC">
        <w:rPr>
          <w:rFonts w:ascii="Arial" w:eastAsia="Times New Roman" w:hAnsi="Arial" w:cs="Arial"/>
          <w:sz w:val="22"/>
          <w:lang w:eastAsia="de-DE"/>
        </w:rPr>
        <w:t xml:space="preserve"> Fassung der Textbausteine für die Erstellung des allgemeinen Geschäftsberichtes zur Verfügung. Diese beinhalten zunächst aktuelle Informationen zur wirtschaftlichen Lage in Deutschland und in Thüringen mit dem Wissensstand von </w:t>
      </w:r>
      <w:r>
        <w:rPr>
          <w:rFonts w:ascii="Arial" w:eastAsia="Times New Roman" w:hAnsi="Arial" w:cs="Arial"/>
          <w:sz w:val="22"/>
          <w:lang w:eastAsia="de-DE"/>
        </w:rPr>
        <w:t>April</w:t>
      </w:r>
      <w:r w:rsidRPr="00632DCC">
        <w:rPr>
          <w:rFonts w:ascii="Arial" w:eastAsia="Times New Roman" w:hAnsi="Arial" w:cs="Arial"/>
          <w:sz w:val="22"/>
          <w:lang w:eastAsia="de-DE"/>
        </w:rPr>
        <w:t xml:space="preserve"> 202</w:t>
      </w:r>
      <w:r w:rsidR="002D6984">
        <w:rPr>
          <w:rFonts w:ascii="Arial" w:eastAsia="Times New Roman" w:hAnsi="Arial" w:cs="Arial"/>
          <w:sz w:val="22"/>
          <w:lang w:eastAsia="de-DE"/>
        </w:rPr>
        <w:t>4</w:t>
      </w:r>
      <w:r w:rsidRPr="00632DCC">
        <w:rPr>
          <w:rFonts w:ascii="Arial" w:eastAsia="Times New Roman" w:hAnsi="Arial" w:cs="Arial"/>
          <w:sz w:val="22"/>
          <w:lang w:eastAsia="de-DE"/>
        </w:rPr>
        <w:t xml:space="preserve">. Dabei fanden im </w:t>
      </w:r>
      <w:r w:rsidRPr="00632DCC">
        <w:rPr>
          <w:rFonts w:ascii="Arial" w:eastAsia="Times New Roman" w:hAnsi="Arial" w:cs="Arial"/>
          <w:spacing w:val="4"/>
          <w:sz w:val="22"/>
          <w:lang w:eastAsia="de-DE"/>
        </w:rPr>
        <w:t xml:space="preserve">Wesentlichen öffentlich zugängliche Quellen, wie Veröffentlichungen des Statistischen Bundesamtes – </w:t>
      </w:r>
      <w:hyperlink r:id="rId7" w:history="1">
        <w:r w:rsidRPr="00632DCC">
          <w:rPr>
            <w:rFonts w:ascii="Arial" w:eastAsia="Times New Roman" w:hAnsi="Arial" w:cs="Arial"/>
            <w:color w:val="467886" w:themeColor="hyperlink"/>
            <w:spacing w:val="4"/>
            <w:sz w:val="22"/>
            <w:u w:val="single"/>
            <w:lang w:eastAsia="de-DE"/>
          </w:rPr>
          <w:t>www.destatis.de</w:t>
        </w:r>
      </w:hyperlink>
      <w:r w:rsidRPr="00632DCC">
        <w:rPr>
          <w:rFonts w:ascii="Arial" w:eastAsia="Times New Roman" w:hAnsi="Arial" w:cs="Arial"/>
          <w:spacing w:val="4"/>
          <w:sz w:val="22"/>
          <w:lang w:eastAsia="de-DE"/>
        </w:rPr>
        <w:t xml:space="preserve"> – und des Thüringer Landesamtes für Statistik – </w:t>
      </w:r>
      <w:hyperlink r:id="rId8" w:history="1">
        <w:r w:rsidRPr="00632DCC">
          <w:rPr>
            <w:rFonts w:ascii="Arial" w:eastAsia="Times New Roman" w:hAnsi="Arial" w:cs="Arial"/>
            <w:color w:val="467886" w:themeColor="hyperlink"/>
            <w:spacing w:val="4"/>
            <w:sz w:val="22"/>
            <w:u w:val="single"/>
            <w:lang w:eastAsia="de-DE"/>
          </w:rPr>
          <w:t>www.tls.thueringen.de</w:t>
        </w:r>
      </w:hyperlink>
      <w:r w:rsidRPr="00632DCC">
        <w:rPr>
          <w:rFonts w:ascii="Arial" w:eastAsia="Times New Roman" w:hAnsi="Arial" w:cs="Arial"/>
          <w:spacing w:val="4"/>
          <w:sz w:val="22"/>
          <w:lang w:eastAsia="de-DE"/>
        </w:rPr>
        <w:t xml:space="preserve"> – </w:t>
      </w:r>
      <w:r w:rsidRPr="00632DCC">
        <w:rPr>
          <w:rFonts w:ascii="Arial" w:eastAsia="Times New Roman" w:hAnsi="Arial" w:cs="Arial"/>
          <w:sz w:val="22"/>
          <w:lang w:eastAsia="de-DE"/>
        </w:rPr>
        <w:t>Verwendung.</w:t>
      </w:r>
    </w:p>
    <w:p w14:paraId="29F9A508" w14:textId="77777777" w:rsidR="000617F0" w:rsidRPr="00632DCC" w:rsidRDefault="000617F0" w:rsidP="000617F0">
      <w:pPr>
        <w:rPr>
          <w:rFonts w:ascii="Arial" w:eastAsia="Times New Roman" w:hAnsi="Arial" w:cs="Arial"/>
          <w:sz w:val="22"/>
          <w:lang w:eastAsia="de-DE"/>
        </w:rPr>
      </w:pPr>
    </w:p>
    <w:p w14:paraId="693CFDBE" w14:textId="11868F6E" w:rsidR="000617F0" w:rsidRPr="00632DCC" w:rsidRDefault="000617F0" w:rsidP="000617F0">
      <w:pPr>
        <w:rPr>
          <w:rFonts w:ascii="Arial" w:eastAsia="Times New Roman" w:hAnsi="Arial" w:cs="Arial"/>
          <w:sz w:val="22"/>
          <w:lang w:eastAsia="de-DE"/>
        </w:rPr>
      </w:pPr>
      <w:r w:rsidRPr="00632DCC">
        <w:rPr>
          <w:rFonts w:ascii="Arial" w:eastAsia="Times New Roman" w:hAnsi="Arial" w:cs="Arial"/>
          <w:sz w:val="22"/>
          <w:lang w:eastAsia="de-DE"/>
        </w:rPr>
        <w:t>Zur Darstellung der Branchenentwicklung w</w:t>
      </w:r>
      <w:r w:rsidR="002D6984">
        <w:rPr>
          <w:rFonts w:ascii="Arial" w:eastAsia="Times New Roman" w:hAnsi="Arial" w:cs="Arial"/>
          <w:sz w:val="22"/>
          <w:lang w:eastAsia="de-DE"/>
        </w:rPr>
        <w:t>u</w:t>
      </w:r>
      <w:r w:rsidRPr="00632DCC">
        <w:rPr>
          <w:rFonts w:ascii="Arial" w:eastAsia="Times New Roman" w:hAnsi="Arial" w:cs="Arial"/>
          <w:sz w:val="22"/>
          <w:lang w:eastAsia="de-DE"/>
        </w:rPr>
        <w:t>rden die vorliegenden Zahlenwerke der Jahresstatistik des GdW und der Regionalverbände zum 31.12.202</w:t>
      </w:r>
      <w:r w:rsidR="002D6984">
        <w:rPr>
          <w:rFonts w:ascii="Arial" w:eastAsia="Times New Roman" w:hAnsi="Arial" w:cs="Arial"/>
          <w:sz w:val="22"/>
          <w:lang w:eastAsia="de-DE"/>
        </w:rPr>
        <w:t>3</w:t>
      </w:r>
      <w:r w:rsidRPr="00632DCC">
        <w:rPr>
          <w:rFonts w:ascii="Arial" w:eastAsia="Times New Roman" w:hAnsi="Arial" w:cs="Arial"/>
          <w:sz w:val="22"/>
          <w:lang w:eastAsia="de-DE"/>
        </w:rPr>
        <w:t xml:space="preserve"> sowie die Ergebnisse des Betriebsvergleichs zum 31.12.202</w:t>
      </w:r>
      <w:r>
        <w:rPr>
          <w:rFonts w:ascii="Arial" w:eastAsia="Times New Roman" w:hAnsi="Arial" w:cs="Arial"/>
          <w:sz w:val="22"/>
          <w:lang w:eastAsia="de-DE"/>
        </w:rPr>
        <w:t>2</w:t>
      </w:r>
      <w:r w:rsidRPr="00632DCC">
        <w:rPr>
          <w:rFonts w:ascii="Arial" w:eastAsia="Times New Roman" w:hAnsi="Arial" w:cs="Arial"/>
          <w:sz w:val="22"/>
          <w:lang w:eastAsia="de-DE"/>
        </w:rPr>
        <w:t xml:space="preserve"> herangezogen. Die Daten sollten durch Angaben aus der konkreten Kommune bzw. Gemeinde und aus dem Unternehmen individuell ergänzt werden.</w:t>
      </w:r>
    </w:p>
    <w:p w14:paraId="243FEB7A" w14:textId="77777777" w:rsidR="000617F0" w:rsidRPr="00E31491" w:rsidRDefault="000617F0" w:rsidP="000617F0">
      <w:pPr>
        <w:rPr>
          <w:rFonts w:ascii="Arial" w:hAnsi="Arial" w:cs="Arial"/>
          <w:sz w:val="22"/>
        </w:rPr>
      </w:pPr>
    </w:p>
    <w:p w14:paraId="43397A91" w14:textId="77777777" w:rsidR="000617F0" w:rsidRPr="00E31491" w:rsidRDefault="000617F0" w:rsidP="000617F0">
      <w:pPr>
        <w:rPr>
          <w:rFonts w:ascii="Arial" w:eastAsia="Times New Roman" w:hAnsi="Arial" w:cs="Arial"/>
          <w:sz w:val="22"/>
          <w:lang w:eastAsia="de-DE"/>
        </w:rPr>
      </w:pPr>
    </w:p>
    <w:p w14:paraId="0F1FDEF3" w14:textId="77777777" w:rsidR="000617F0" w:rsidRPr="00E31491" w:rsidRDefault="000617F0" w:rsidP="000617F0">
      <w:pPr>
        <w:numPr>
          <w:ilvl w:val="0"/>
          <w:numId w:val="1"/>
        </w:numPr>
        <w:rPr>
          <w:rFonts w:ascii="Arial" w:eastAsia="Times New Roman" w:hAnsi="Arial" w:cs="Arial"/>
          <w:b/>
          <w:sz w:val="22"/>
          <w:lang w:eastAsia="de-DE"/>
        </w:rPr>
      </w:pPr>
      <w:r w:rsidRPr="00E31491">
        <w:rPr>
          <w:rFonts w:ascii="Arial" w:eastAsia="Times New Roman" w:hAnsi="Arial" w:cs="Arial"/>
          <w:b/>
          <w:sz w:val="22"/>
          <w:lang w:eastAsia="de-DE"/>
        </w:rPr>
        <w:t>Wirtschaftliche Lage in Deutschland und in Thüringen</w:t>
      </w:r>
    </w:p>
    <w:p w14:paraId="54B8D4B0" w14:textId="77777777" w:rsidR="000617F0" w:rsidRPr="00E31491" w:rsidRDefault="000617F0" w:rsidP="000617F0">
      <w:pPr>
        <w:rPr>
          <w:rFonts w:ascii="Arial" w:eastAsia="Times New Roman" w:hAnsi="Arial" w:cs="Arial"/>
          <w:sz w:val="22"/>
          <w:lang w:eastAsia="de-DE"/>
        </w:rPr>
      </w:pPr>
    </w:p>
    <w:p w14:paraId="51C4378F" w14:textId="77777777" w:rsidR="000617F0" w:rsidRPr="00CE18F9" w:rsidRDefault="000617F0" w:rsidP="000617F0">
      <w:pPr>
        <w:rPr>
          <w:rFonts w:ascii="Arial" w:eastAsia="Times New Roman" w:hAnsi="Arial" w:cs="Arial"/>
          <w:b/>
          <w:i/>
          <w:iCs/>
          <w:sz w:val="22"/>
          <w:lang w:eastAsia="de-DE"/>
        </w:rPr>
      </w:pPr>
      <w:r w:rsidRPr="00CE18F9">
        <w:rPr>
          <w:rFonts w:ascii="Arial" w:eastAsia="Times New Roman" w:hAnsi="Arial" w:cs="Arial"/>
          <w:b/>
          <w:i/>
          <w:iCs/>
          <w:sz w:val="22"/>
          <w:lang w:eastAsia="de-DE"/>
        </w:rPr>
        <w:t>Konjunkturelle Entwicklung</w:t>
      </w:r>
    </w:p>
    <w:p w14:paraId="6F9437B2" w14:textId="77777777" w:rsidR="000617F0" w:rsidRDefault="000617F0" w:rsidP="0059427E">
      <w:pPr>
        <w:rPr>
          <w:rFonts w:ascii="Arial" w:eastAsia="Times New Roman" w:hAnsi="Arial" w:cs="Arial"/>
          <w:sz w:val="22"/>
          <w:lang w:eastAsia="de-DE"/>
        </w:rPr>
      </w:pPr>
    </w:p>
    <w:p w14:paraId="1A929436" w14:textId="03656994" w:rsidR="0059427E" w:rsidRPr="0059427E" w:rsidRDefault="0059427E" w:rsidP="0059427E">
      <w:pPr>
        <w:rPr>
          <w:rFonts w:ascii="Arial" w:eastAsia="Times New Roman" w:hAnsi="Arial" w:cs="Arial"/>
          <w:sz w:val="22"/>
          <w:lang w:eastAsia="de-DE"/>
        </w:rPr>
      </w:pPr>
      <w:r>
        <w:rPr>
          <w:rFonts w:ascii="Arial" w:eastAsia="Times New Roman" w:hAnsi="Arial" w:cs="Arial"/>
          <w:sz w:val="22"/>
          <w:lang w:eastAsia="de-DE"/>
        </w:rPr>
        <w:t xml:space="preserve">Die Prognosen für die wirtschaftliche Entwicklung in Deutschland im Jahr 2023 haben sich nicht erfüllt. Statt eines, wenn auch geringen Wachstums, ist nunmehr ein Rückgang zu verzeichnen. Laut </w:t>
      </w:r>
      <w:r w:rsidRPr="0059427E">
        <w:rPr>
          <w:rFonts w:ascii="Arial" w:hAnsi="Arial" w:cs="Arial"/>
          <w:sz w:val="22"/>
        </w:rPr>
        <w:t>Statistische</w:t>
      </w:r>
      <w:r w:rsidR="00536A0F">
        <w:rPr>
          <w:rFonts w:ascii="Arial" w:hAnsi="Arial" w:cs="Arial"/>
          <w:sz w:val="22"/>
        </w:rPr>
        <w:t>m</w:t>
      </w:r>
      <w:r w:rsidRPr="0059427E">
        <w:rPr>
          <w:rFonts w:ascii="Arial" w:hAnsi="Arial" w:cs="Arial"/>
          <w:sz w:val="22"/>
        </w:rPr>
        <w:t xml:space="preserve"> Bundesamts </w:t>
      </w:r>
      <w:r>
        <w:rPr>
          <w:rFonts w:ascii="Arial" w:hAnsi="Arial" w:cs="Arial"/>
          <w:sz w:val="22"/>
        </w:rPr>
        <w:t>ging das Bruttoinlandsprodukt (BIP) im Jahr</w:t>
      </w:r>
      <w:r w:rsidRPr="0059427E">
        <w:rPr>
          <w:rFonts w:ascii="Arial" w:hAnsi="Arial" w:cs="Arial"/>
          <w:sz w:val="22"/>
        </w:rPr>
        <w:t xml:space="preserve"> 2023 um 0,3 </w:t>
      </w:r>
      <w:r>
        <w:rPr>
          <w:rFonts w:ascii="Arial" w:hAnsi="Arial" w:cs="Arial"/>
          <w:sz w:val="22"/>
        </w:rPr>
        <w:t>% im Vergleich</w:t>
      </w:r>
      <w:r w:rsidRPr="0059427E">
        <w:rPr>
          <w:rFonts w:ascii="Arial" w:hAnsi="Arial" w:cs="Arial"/>
          <w:sz w:val="22"/>
        </w:rPr>
        <w:t xml:space="preserve"> zum Vorjahr</w:t>
      </w:r>
      <w:r>
        <w:rPr>
          <w:rFonts w:ascii="Arial" w:hAnsi="Arial" w:cs="Arial"/>
          <w:sz w:val="22"/>
        </w:rPr>
        <w:t xml:space="preserve"> zurück</w:t>
      </w:r>
      <w:r w:rsidRPr="0059427E">
        <w:rPr>
          <w:rFonts w:ascii="Arial" w:hAnsi="Arial" w:cs="Arial"/>
          <w:sz w:val="22"/>
        </w:rPr>
        <w:t xml:space="preserve">. Ein Jahr zuvor hatte es nach jüngsten Berechnungen noch 1,9 </w:t>
      </w:r>
      <w:r>
        <w:rPr>
          <w:rFonts w:ascii="Arial" w:hAnsi="Arial" w:cs="Arial"/>
          <w:sz w:val="22"/>
        </w:rPr>
        <w:t>%</w:t>
      </w:r>
      <w:r w:rsidRPr="0059427E">
        <w:rPr>
          <w:rFonts w:ascii="Arial" w:hAnsi="Arial" w:cs="Arial"/>
          <w:sz w:val="22"/>
        </w:rPr>
        <w:t xml:space="preserve"> Wachstum gegeben.</w:t>
      </w:r>
      <w:r>
        <w:rPr>
          <w:rFonts w:ascii="Arial" w:hAnsi="Arial" w:cs="Arial"/>
          <w:sz w:val="22"/>
        </w:rPr>
        <w:t xml:space="preserve"> </w:t>
      </w:r>
      <w:r>
        <w:rPr>
          <w:rFonts w:ascii="Arial" w:eastAsia="Times New Roman" w:hAnsi="Arial" w:cs="Arial"/>
          <w:sz w:val="22"/>
          <w:lang w:eastAsia="de-DE"/>
        </w:rPr>
        <w:t>Die trotz einiger Rückgänge nach</w:t>
      </w:r>
      <w:r w:rsidRPr="0059427E">
        <w:rPr>
          <w:rFonts w:ascii="Arial" w:eastAsia="Times New Roman" w:hAnsi="Arial" w:cs="Arial"/>
          <w:sz w:val="22"/>
          <w:lang w:eastAsia="de-DE"/>
        </w:rPr>
        <w:t xml:space="preserve"> wie vor hohen Preise</w:t>
      </w:r>
      <w:r>
        <w:rPr>
          <w:rFonts w:ascii="Arial" w:eastAsia="Times New Roman" w:hAnsi="Arial" w:cs="Arial"/>
          <w:sz w:val="22"/>
          <w:lang w:eastAsia="de-DE"/>
        </w:rPr>
        <w:t xml:space="preserve">, </w:t>
      </w:r>
      <w:r w:rsidRPr="0059427E">
        <w:rPr>
          <w:rFonts w:ascii="Arial" w:eastAsia="Times New Roman" w:hAnsi="Arial" w:cs="Arial"/>
          <w:sz w:val="22"/>
          <w:lang w:eastAsia="de-DE"/>
        </w:rPr>
        <w:t xml:space="preserve">ungünstige Finanzierungsbedingungen </w:t>
      </w:r>
      <w:proofErr w:type="gramStart"/>
      <w:r w:rsidRPr="0059427E">
        <w:rPr>
          <w:rFonts w:ascii="Arial" w:eastAsia="Times New Roman" w:hAnsi="Arial" w:cs="Arial"/>
          <w:sz w:val="22"/>
          <w:lang w:eastAsia="de-DE"/>
        </w:rPr>
        <w:t>durch steigende</w:t>
      </w:r>
      <w:proofErr w:type="gramEnd"/>
      <w:r>
        <w:rPr>
          <w:rFonts w:ascii="Arial" w:eastAsia="Times New Roman" w:hAnsi="Arial" w:cs="Arial"/>
          <w:sz w:val="22"/>
          <w:lang w:eastAsia="de-DE"/>
        </w:rPr>
        <w:t xml:space="preserve"> </w:t>
      </w:r>
      <w:r w:rsidRPr="0059427E">
        <w:rPr>
          <w:rFonts w:ascii="Arial" w:eastAsia="Times New Roman" w:hAnsi="Arial" w:cs="Arial"/>
          <w:sz w:val="22"/>
          <w:lang w:eastAsia="de-DE"/>
        </w:rPr>
        <w:t>Zinsen und eine geringere Nachfrage aus dem In- und Ausland</w:t>
      </w:r>
      <w:r>
        <w:rPr>
          <w:rFonts w:ascii="Arial" w:eastAsia="Times New Roman" w:hAnsi="Arial" w:cs="Arial"/>
          <w:sz w:val="22"/>
          <w:lang w:eastAsia="de-DE"/>
        </w:rPr>
        <w:t xml:space="preserve"> dämpften die Konjunktur, sodass sich die </w:t>
      </w:r>
      <w:r w:rsidRPr="0059427E">
        <w:rPr>
          <w:rFonts w:ascii="Arial" w:eastAsia="Times New Roman" w:hAnsi="Arial" w:cs="Arial"/>
          <w:sz w:val="22"/>
          <w:lang w:eastAsia="de-DE"/>
        </w:rPr>
        <w:t xml:space="preserve">Erholung der deutschen Wirtschaft </w:t>
      </w:r>
      <w:r>
        <w:rPr>
          <w:rFonts w:ascii="Arial" w:eastAsia="Times New Roman" w:hAnsi="Arial" w:cs="Arial"/>
          <w:sz w:val="22"/>
          <w:lang w:eastAsia="de-DE"/>
        </w:rPr>
        <w:t>im Jahr 2023 nicht fortsetzte.</w:t>
      </w:r>
    </w:p>
    <w:p w14:paraId="75D336B6" w14:textId="77777777" w:rsidR="00E31491" w:rsidRDefault="00E31491" w:rsidP="000617F0">
      <w:pPr>
        <w:rPr>
          <w:rFonts w:ascii="Arial" w:eastAsia="Times New Roman" w:hAnsi="Arial" w:cs="Arial"/>
          <w:sz w:val="22"/>
          <w:lang w:eastAsia="de-DE"/>
        </w:rPr>
      </w:pPr>
    </w:p>
    <w:p w14:paraId="2DFE7EF5" w14:textId="56CD3AD2" w:rsidR="00B63F4C" w:rsidRDefault="00B63F4C" w:rsidP="00B63F4C">
      <w:pPr>
        <w:rPr>
          <w:rFonts w:ascii="Arial" w:eastAsia="Times New Roman" w:hAnsi="Arial" w:cs="Arial"/>
          <w:sz w:val="22"/>
          <w:lang w:eastAsia="de-DE"/>
        </w:rPr>
      </w:pPr>
      <w:r w:rsidRPr="00B63F4C">
        <w:rPr>
          <w:rFonts w:ascii="Arial" w:eastAsia="Times New Roman" w:hAnsi="Arial" w:cs="Arial"/>
          <w:sz w:val="22"/>
          <w:lang w:eastAsia="de-DE"/>
        </w:rPr>
        <w:t>Die Entwicklung der Bruttowertschöpfung verlief im Jahr 2023 in den einzelnen</w:t>
      </w:r>
      <w:r>
        <w:rPr>
          <w:rFonts w:ascii="Arial" w:eastAsia="Times New Roman" w:hAnsi="Arial" w:cs="Arial"/>
          <w:sz w:val="22"/>
          <w:lang w:eastAsia="de-DE"/>
        </w:rPr>
        <w:t xml:space="preserve"> </w:t>
      </w:r>
      <w:r w:rsidRPr="00B63F4C">
        <w:rPr>
          <w:rFonts w:ascii="Arial" w:eastAsia="Times New Roman" w:hAnsi="Arial" w:cs="Arial"/>
          <w:sz w:val="22"/>
          <w:lang w:eastAsia="de-DE"/>
        </w:rPr>
        <w:t>Wirtschaftsbereichen unterschiedlich: Die Wirtschaftsleistung im Produzierenden</w:t>
      </w:r>
      <w:r>
        <w:rPr>
          <w:rFonts w:ascii="Arial" w:eastAsia="Times New Roman" w:hAnsi="Arial" w:cs="Arial"/>
          <w:sz w:val="22"/>
          <w:lang w:eastAsia="de-DE"/>
        </w:rPr>
        <w:t xml:space="preserve"> </w:t>
      </w:r>
      <w:r w:rsidRPr="00B63F4C">
        <w:rPr>
          <w:rFonts w:ascii="Arial" w:eastAsia="Times New Roman" w:hAnsi="Arial" w:cs="Arial"/>
          <w:sz w:val="22"/>
          <w:lang w:eastAsia="de-DE"/>
        </w:rPr>
        <w:t>Gewerbe (ohne Baugewerbe) ging insgesamt deutlich um 2,0 % zurück.</w:t>
      </w:r>
      <w:r>
        <w:rPr>
          <w:rFonts w:ascii="Arial" w:eastAsia="Times New Roman" w:hAnsi="Arial" w:cs="Arial"/>
          <w:sz w:val="22"/>
          <w:lang w:eastAsia="de-DE"/>
        </w:rPr>
        <w:t xml:space="preserve"> </w:t>
      </w:r>
      <w:r w:rsidRPr="00B63F4C">
        <w:rPr>
          <w:rFonts w:ascii="Arial" w:eastAsia="Times New Roman" w:hAnsi="Arial" w:cs="Arial"/>
          <w:sz w:val="22"/>
          <w:lang w:eastAsia="de-DE"/>
        </w:rPr>
        <w:t>Die Bauinvestitionen sanken im Jahr 2023 preisbereinigt um 2,1 %. Neben den hohen</w:t>
      </w:r>
      <w:r>
        <w:rPr>
          <w:rFonts w:ascii="Arial" w:eastAsia="Times New Roman" w:hAnsi="Arial" w:cs="Arial"/>
          <w:sz w:val="22"/>
          <w:lang w:eastAsia="de-DE"/>
        </w:rPr>
        <w:t xml:space="preserve"> </w:t>
      </w:r>
      <w:r w:rsidRPr="00B63F4C">
        <w:rPr>
          <w:rFonts w:ascii="Arial" w:eastAsia="Times New Roman" w:hAnsi="Arial" w:cs="Arial"/>
          <w:sz w:val="22"/>
          <w:lang w:eastAsia="de-DE"/>
        </w:rPr>
        <w:t>Baupreisen wirkten sich die spürbar gestiegenen Bauzinsen aus, die insbesondere den</w:t>
      </w:r>
      <w:r>
        <w:rPr>
          <w:rFonts w:ascii="Arial" w:eastAsia="Times New Roman" w:hAnsi="Arial" w:cs="Arial"/>
          <w:sz w:val="22"/>
          <w:lang w:eastAsia="de-DE"/>
        </w:rPr>
        <w:t xml:space="preserve"> </w:t>
      </w:r>
      <w:r w:rsidRPr="00B63F4C">
        <w:rPr>
          <w:rFonts w:ascii="Arial" w:eastAsia="Times New Roman" w:hAnsi="Arial" w:cs="Arial"/>
          <w:sz w:val="22"/>
          <w:lang w:eastAsia="de-DE"/>
        </w:rPr>
        <w:t>Wohnungsbau bremsten. Positive Signale kamen lediglich vom Ausbaugewerbe, was</w:t>
      </w:r>
      <w:r>
        <w:rPr>
          <w:rFonts w:ascii="Arial" w:eastAsia="Times New Roman" w:hAnsi="Arial" w:cs="Arial"/>
          <w:sz w:val="22"/>
          <w:lang w:eastAsia="de-DE"/>
        </w:rPr>
        <w:t xml:space="preserve"> </w:t>
      </w:r>
      <w:r w:rsidRPr="00B63F4C">
        <w:rPr>
          <w:rFonts w:ascii="Arial" w:eastAsia="Times New Roman" w:hAnsi="Arial" w:cs="Arial"/>
          <w:sz w:val="22"/>
          <w:lang w:eastAsia="de-DE"/>
        </w:rPr>
        <w:t xml:space="preserve">unter anderem an den stark nachgefragten energetischen Sanierungen </w:t>
      </w:r>
      <w:proofErr w:type="gramStart"/>
      <w:r w:rsidRPr="00B63F4C">
        <w:rPr>
          <w:rFonts w:ascii="Arial" w:eastAsia="Times New Roman" w:hAnsi="Arial" w:cs="Arial"/>
          <w:sz w:val="22"/>
          <w:lang w:eastAsia="de-DE"/>
        </w:rPr>
        <w:t>gelegen haben</w:t>
      </w:r>
      <w:proofErr w:type="gramEnd"/>
      <w:r>
        <w:rPr>
          <w:rFonts w:ascii="Arial" w:eastAsia="Times New Roman" w:hAnsi="Arial" w:cs="Arial"/>
          <w:sz w:val="22"/>
          <w:lang w:eastAsia="de-DE"/>
        </w:rPr>
        <w:t xml:space="preserve"> </w:t>
      </w:r>
      <w:r w:rsidRPr="00B63F4C">
        <w:rPr>
          <w:rFonts w:ascii="Arial" w:eastAsia="Times New Roman" w:hAnsi="Arial" w:cs="Arial"/>
          <w:sz w:val="22"/>
          <w:lang w:eastAsia="de-DE"/>
        </w:rPr>
        <w:t>dürfte.</w:t>
      </w:r>
      <w:r w:rsidR="00EE6FB6">
        <w:rPr>
          <w:rFonts w:ascii="Arial" w:eastAsia="Times New Roman" w:hAnsi="Arial" w:cs="Arial"/>
          <w:sz w:val="22"/>
          <w:lang w:eastAsia="de-DE"/>
        </w:rPr>
        <w:t xml:space="preserve"> </w:t>
      </w:r>
    </w:p>
    <w:p w14:paraId="413BD658" w14:textId="77777777" w:rsidR="00B63F4C" w:rsidRDefault="00B63F4C" w:rsidP="00B63F4C">
      <w:pPr>
        <w:rPr>
          <w:rFonts w:ascii="Arial" w:eastAsia="Times New Roman" w:hAnsi="Arial" w:cs="Arial"/>
          <w:sz w:val="22"/>
          <w:lang w:eastAsia="de-DE"/>
        </w:rPr>
      </w:pPr>
    </w:p>
    <w:p w14:paraId="60773BCB" w14:textId="69D6216D" w:rsidR="00B63F4C" w:rsidRDefault="00B63F4C" w:rsidP="00B63F4C">
      <w:pPr>
        <w:rPr>
          <w:rFonts w:ascii="Arial" w:eastAsia="Times New Roman" w:hAnsi="Arial" w:cs="Arial"/>
          <w:sz w:val="22"/>
          <w:lang w:eastAsia="de-DE"/>
        </w:rPr>
      </w:pPr>
      <w:r w:rsidRPr="00B63F4C">
        <w:rPr>
          <w:rFonts w:ascii="Arial" w:eastAsia="Times New Roman" w:hAnsi="Arial" w:cs="Arial"/>
          <w:sz w:val="22"/>
          <w:lang w:eastAsia="de-DE"/>
        </w:rPr>
        <w:t>Die meisten Dienstleistungsbereiche konnten ihre wirtschaftlichen Aktivitäten im</w:t>
      </w:r>
      <w:r>
        <w:rPr>
          <w:rFonts w:ascii="Arial" w:eastAsia="Times New Roman" w:hAnsi="Arial" w:cs="Arial"/>
          <w:sz w:val="22"/>
          <w:lang w:eastAsia="de-DE"/>
        </w:rPr>
        <w:t xml:space="preserve"> </w:t>
      </w:r>
      <w:r w:rsidRPr="00B63F4C">
        <w:rPr>
          <w:rFonts w:ascii="Arial" w:eastAsia="Times New Roman" w:hAnsi="Arial" w:cs="Arial"/>
          <w:sz w:val="22"/>
          <w:lang w:eastAsia="de-DE"/>
        </w:rPr>
        <w:t>Vorjahresvergleich erneut ausweiten und stützten die Wirtschaft im Jahr 2023. Der</w:t>
      </w:r>
      <w:r>
        <w:rPr>
          <w:rFonts w:ascii="Arial" w:eastAsia="Times New Roman" w:hAnsi="Arial" w:cs="Arial"/>
          <w:sz w:val="22"/>
          <w:lang w:eastAsia="de-DE"/>
        </w:rPr>
        <w:t xml:space="preserve"> </w:t>
      </w:r>
      <w:r w:rsidRPr="00B63F4C">
        <w:rPr>
          <w:rFonts w:ascii="Arial" w:eastAsia="Times New Roman" w:hAnsi="Arial" w:cs="Arial"/>
          <w:sz w:val="22"/>
          <w:lang w:eastAsia="de-DE"/>
        </w:rPr>
        <w:t>Anstieg fiel aber insgesamt schwächer aus als in den beiden vorangegangenen Jahren.</w:t>
      </w:r>
      <w:r>
        <w:rPr>
          <w:rFonts w:ascii="Arial" w:eastAsia="Times New Roman" w:hAnsi="Arial" w:cs="Arial"/>
          <w:sz w:val="22"/>
          <w:lang w:eastAsia="de-DE"/>
        </w:rPr>
        <w:t xml:space="preserve"> </w:t>
      </w:r>
    </w:p>
    <w:p w14:paraId="5DE8FF7F" w14:textId="77777777" w:rsidR="00B63F4C" w:rsidRDefault="00B63F4C" w:rsidP="00B63F4C">
      <w:pPr>
        <w:rPr>
          <w:rFonts w:ascii="Arial" w:eastAsia="Times New Roman" w:hAnsi="Arial" w:cs="Arial"/>
          <w:sz w:val="22"/>
          <w:lang w:eastAsia="de-DE"/>
        </w:rPr>
      </w:pPr>
    </w:p>
    <w:p w14:paraId="36990BDE" w14:textId="5D792B23" w:rsidR="00635007" w:rsidRDefault="00B63F4C" w:rsidP="00635007">
      <w:pPr>
        <w:rPr>
          <w:rFonts w:ascii="Arial" w:eastAsia="Times New Roman" w:hAnsi="Arial" w:cs="Arial"/>
          <w:sz w:val="22"/>
          <w:lang w:eastAsia="de-DE"/>
        </w:rPr>
      </w:pPr>
      <w:r w:rsidRPr="00B63F4C">
        <w:rPr>
          <w:rFonts w:ascii="Arial" w:eastAsia="Times New Roman" w:hAnsi="Arial" w:cs="Arial"/>
          <w:sz w:val="22"/>
          <w:lang w:eastAsia="de-DE"/>
        </w:rPr>
        <w:t>Der private Konsum nahm im Jahr 2023 preisbereinigt um 0,8 % gegenüber dem Vorjahr</w:t>
      </w:r>
      <w:r w:rsidR="00743628">
        <w:rPr>
          <w:rFonts w:ascii="Arial" w:eastAsia="Times New Roman" w:hAnsi="Arial" w:cs="Arial"/>
          <w:sz w:val="22"/>
          <w:lang w:eastAsia="de-DE"/>
        </w:rPr>
        <w:t xml:space="preserve"> </w:t>
      </w:r>
      <w:r w:rsidRPr="00B63F4C">
        <w:rPr>
          <w:rFonts w:ascii="Arial" w:eastAsia="Times New Roman" w:hAnsi="Arial" w:cs="Arial"/>
          <w:sz w:val="22"/>
          <w:lang w:eastAsia="de-DE"/>
        </w:rPr>
        <w:t>ab und entfernte sich damit wieder vom Vorkrisenniveau des Jahres 2019 (-1,5 %). Dies</w:t>
      </w:r>
      <w:r w:rsidR="00743628">
        <w:rPr>
          <w:rFonts w:ascii="Arial" w:eastAsia="Times New Roman" w:hAnsi="Arial" w:cs="Arial"/>
          <w:sz w:val="22"/>
          <w:lang w:eastAsia="de-DE"/>
        </w:rPr>
        <w:t xml:space="preserve"> </w:t>
      </w:r>
      <w:r w:rsidRPr="00B63F4C">
        <w:rPr>
          <w:rFonts w:ascii="Arial" w:eastAsia="Times New Roman" w:hAnsi="Arial" w:cs="Arial"/>
          <w:sz w:val="22"/>
          <w:lang w:eastAsia="de-DE"/>
        </w:rPr>
        <w:t>dürfte vor allem auf die hohen Verbraucherpreise zurückzuführen sein.</w:t>
      </w:r>
      <w:r w:rsidR="00635007">
        <w:rPr>
          <w:rFonts w:ascii="Arial" w:eastAsia="Times New Roman" w:hAnsi="Arial" w:cs="Arial"/>
          <w:sz w:val="22"/>
          <w:lang w:eastAsia="de-DE"/>
        </w:rPr>
        <w:t xml:space="preserve"> V</w:t>
      </w:r>
      <w:r w:rsidR="00635007" w:rsidRPr="00635007">
        <w:rPr>
          <w:rFonts w:ascii="Arial" w:eastAsia="Times New Roman" w:hAnsi="Arial" w:cs="Arial"/>
          <w:sz w:val="22"/>
          <w:lang w:eastAsia="de-DE"/>
        </w:rPr>
        <w:t>on Rückgängen</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waren vor allem die Bereiche betroffen, in denen die Preise im Jahresverlauf entweder</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auf dem hohen Niveau des Vorjahres verharrten oder sogar noch weiter anstiegen.</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Besonders stark sanken die preisbereinigten Ausgaben für langlebige Güter wie</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Einrichtungsgegenstände und Haushaltsgeräte (-6,2 %). Auch der Staat reduzierte im</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Jahr 2023 erstmals seit fast 20 Jahren seine preisbereinigten Konsumausgaben</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(-1,7 %). Das lag vor allem am Wegfall staatlich finanzierter Corona-Maßnahmen</w:t>
      </w:r>
      <w:r w:rsidR="00635007">
        <w:rPr>
          <w:rFonts w:ascii="Arial" w:eastAsia="Times New Roman" w:hAnsi="Arial" w:cs="Arial"/>
          <w:sz w:val="22"/>
          <w:lang w:eastAsia="de-DE"/>
        </w:rPr>
        <w:t>.</w:t>
      </w:r>
    </w:p>
    <w:p w14:paraId="0C78D155" w14:textId="77777777" w:rsidR="00635007" w:rsidRDefault="00635007">
      <w:pPr>
        <w:spacing w:after="160" w:line="278" w:lineRule="auto"/>
        <w:rPr>
          <w:rFonts w:ascii="Arial" w:eastAsia="Times New Roman" w:hAnsi="Arial" w:cs="Arial"/>
          <w:sz w:val="22"/>
          <w:lang w:eastAsia="de-DE"/>
        </w:rPr>
      </w:pPr>
      <w:r>
        <w:rPr>
          <w:rFonts w:ascii="Arial" w:eastAsia="Times New Roman" w:hAnsi="Arial" w:cs="Arial"/>
          <w:sz w:val="22"/>
          <w:lang w:eastAsia="de-DE"/>
        </w:rPr>
        <w:br w:type="page"/>
      </w:r>
    </w:p>
    <w:p w14:paraId="13D641DA"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lastRenderedPageBreak/>
        <w:t>Entwicklung der Verbraucherpreise</w:t>
      </w:r>
    </w:p>
    <w:p w14:paraId="1DA8F17C" w14:textId="77777777" w:rsidR="000617F0" w:rsidRDefault="000617F0" w:rsidP="000617F0">
      <w:pPr>
        <w:rPr>
          <w:rFonts w:ascii="Arial" w:eastAsia="Times New Roman" w:hAnsi="Arial" w:cs="Arial"/>
          <w:sz w:val="22"/>
          <w:lang w:eastAsia="de-DE"/>
        </w:rPr>
      </w:pPr>
    </w:p>
    <w:p w14:paraId="591E00B5" w14:textId="220E9561" w:rsidR="002C077A" w:rsidRDefault="005424F1" w:rsidP="005424F1">
      <w:pPr>
        <w:rPr>
          <w:rFonts w:ascii="Arial" w:eastAsia="Times New Roman" w:hAnsi="Arial" w:cs="Arial"/>
          <w:sz w:val="22"/>
          <w:lang w:eastAsia="de-DE"/>
        </w:rPr>
      </w:pPr>
      <w:r w:rsidRPr="005424F1">
        <w:rPr>
          <w:rFonts w:ascii="Arial" w:eastAsia="Times New Roman" w:hAnsi="Arial" w:cs="Arial"/>
          <w:sz w:val="22"/>
          <w:lang w:eastAsia="de-DE"/>
        </w:rPr>
        <w:t xml:space="preserve">Im Jahr 2023 schwächte sich die durchschnittliche Jahresteuerungsrate mit 6,2 </w:t>
      </w:r>
      <w:r>
        <w:rPr>
          <w:rFonts w:ascii="Arial" w:eastAsia="Times New Roman" w:hAnsi="Arial" w:cs="Arial"/>
          <w:sz w:val="22"/>
          <w:lang w:eastAsia="de-DE"/>
        </w:rPr>
        <w:t>%</w:t>
      </w:r>
      <w:r w:rsidRPr="005424F1">
        <w:rPr>
          <w:rFonts w:ascii="Arial" w:eastAsia="Times New Roman" w:hAnsi="Arial" w:cs="Arial"/>
          <w:sz w:val="22"/>
          <w:lang w:eastAsia="de-DE"/>
        </w:rPr>
        <w:t xml:space="preserve"> ab, ist aber</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weiterhin auf einem sehr hohen Niveau. Im Jahr 2022 betrug sie 7,5 </w:t>
      </w:r>
      <w:r>
        <w:rPr>
          <w:rFonts w:ascii="Arial" w:eastAsia="Times New Roman" w:hAnsi="Arial" w:cs="Arial"/>
          <w:sz w:val="22"/>
          <w:lang w:eastAsia="de-DE"/>
        </w:rPr>
        <w:t>%</w:t>
      </w:r>
      <w:r w:rsidRPr="005424F1">
        <w:rPr>
          <w:rFonts w:ascii="Arial" w:eastAsia="Times New Roman" w:hAnsi="Arial" w:cs="Arial"/>
          <w:sz w:val="22"/>
          <w:lang w:eastAsia="de-DE"/>
        </w:rPr>
        <w:t>. Nach Mitteilung des</w:t>
      </w:r>
      <w:r>
        <w:rPr>
          <w:rFonts w:ascii="Arial" w:eastAsia="Times New Roman" w:hAnsi="Arial" w:cs="Arial"/>
          <w:sz w:val="22"/>
          <w:lang w:eastAsia="de-DE"/>
        </w:rPr>
        <w:t xml:space="preserve"> </w:t>
      </w:r>
      <w:r w:rsidRPr="005424F1">
        <w:rPr>
          <w:rFonts w:ascii="Arial" w:eastAsia="Times New Roman" w:hAnsi="Arial" w:cs="Arial"/>
          <w:sz w:val="22"/>
          <w:lang w:eastAsia="de-DE"/>
        </w:rPr>
        <w:t>Thüringer Landesamtes für Statistik stiegen die Verbraucherpreise im Jahr 2023 auf einen durchschnittlichen Index von 117,8 (Basis 2020=100).</w:t>
      </w:r>
      <w:r>
        <w:rPr>
          <w:rFonts w:ascii="Arial" w:eastAsia="Times New Roman" w:hAnsi="Arial" w:cs="Arial"/>
          <w:sz w:val="22"/>
          <w:lang w:eastAsia="de-DE"/>
        </w:rPr>
        <w:t xml:space="preserve"> </w:t>
      </w:r>
      <w:r w:rsidRPr="005424F1">
        <w:rPr>
          <w:rFonts w:ascii="Arial" w:eastAsia="Times New Roman" w:hAnsi="Arial" w:cs="Arial"/>
          <w:sz w:val="22"/>
          <w:lang w:eastAsia="de-DE"/>
        </w:rPr>
        <w:t>Infolge des russischen Angriffskrieges in der Ukraine stiegen die Preise der Energieprodukte Strom,</w:t>
      </w:r>
      <w:r>
        <w:rPr>
          <w:rFonts w:ascii="Arial" w:eastAsia="Times New Roman" w:hAnsi="Arial" w:cs="Arial"/>
          <w:sz w:val="22"/>
          <w:lang w:eastAsia="de-DE"/>
        </w:rPr>
        <w:t xml:space="preserve"> </w:t>
      </w:r>
      <w:r w:rsidRPr="005424F1">
        <w:rPr>
          <w:rFonts w:ascii="Arial" w:eastAsia="Times New Roman" w:hAnsi="Arial" w:cs="Arial"/>
          <w:sz w:val="22"/>
          <w:lang w:eastAsia="de-DE"/>
        </w:rPr>
        <w:t>Gas und Fernwärme spürbar an. Hinzu kamen Materialknappheit, Lieferengpässe und gestiegene</w:t>
      </w:r>
      <w:r>
        <w:rPr>
          <w:rFonts w:ascii="Arial" w:eastAsia="Times New Roman" w:hAnsi="Arial" w:cs="Arial"/>
          <w:sz w:val="22"/>
          <w:lang w:eastAsia="de-DE"/>
        </w:rPr>
        <w:t xml:space="preserve"> </w:t>
      </w:r>
      <w:r w:rsidRPr="005424F1">
        <w:rPr>
          <w:rFonts w:ascii="Arial" w:eastAsia="Times New Roman" w:hAnsi="Arial" w:cs="Arial"/>
          <w:sz w:val="22"/>
          <w:lang w:eastAsia="de-DE"/>
        </w:rPr>
        <w:t>Arbeitskosten. Diese spiegelten sich in der Entwicklung der Verbraucherpreise wider.</w:t>
      </w:r>
      <w:r w:rsidR="00EE6FB6">
        <w:rPr>
          <w:rFonts w:ascii="Arial" w:eastAsia="Times New Roman" w:hAnsi="Arial" w:cs="Arial"/>
          <w:sz w:val="22"/>
          <w:lang w:eastAsia="de-DE"/>
        </w:rPr>
        <w:t xml:space="preserve"> </w:t>
      </w:r>
      <w:r w:rsidRPr="005424F1">
        <w:rPr>
          <w:rFonts w:ascii="Arial" w:eastAsia="Times New Roman" w:hAnsi="Arial" w:cs="Arial"/>
          <w:sz w:val="22"/>
          <w:lang w:eastAsia="de-DE"/>
        </w:rPr>
        <w:t>Die stärksten Preisanstiege verzeichneten 2023 im Jahresvergleich Nahrungsmittel und alkoholfreie</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Getränke (+13,4 </w:t>
      </w:r>
      <w:r>
        <w:rPr>
          <w:rFonts w:ascii="Arial" w:eastAsia="Times New Roman" w:hAnsi="Arial" w:cs="Arial"/>
          <w:sz w:val="22"/>
          <w:lang w:eastAsia="de-DE"/>
        </w:rPr>
        <w:t>%</w:t>
      </w:r>
      <w:r w:rsidRPr="005424F1">
        <w:rPr>
          <w:rFonts w:ascii="Arial" w:eastAsia="Times New Roman" w:hAnsi="Arial" w:cs="Arial"/>
          <w:sz w:val="22"/>
          <w:lang w:eastAsia="de-DE"/>
        </w:rPr>
        <w:t>)</w:t>
      </w:r>
      <w:r w:rsidR="00EE6FB6">
        <w:rPr>
          <w:rFonts w:ascii="Arial" w:eastAsia="Times New Roman" w:hAnsi="Arial" w:cs="Arial"/>
          <w:sz w:val="22"/>
          <w:lang w:eastAsia="de-DE"/>
        </w:rPr>
        <w:t xml:space="preserve">. </w:t>
      </w:r>
    </w:p>
    <w:p w14:paraId="05A3141A" w14:textId="77777777" w:rsidR="002C077A" w:rsidRDefault="002C077A" w:rsidP="005424F1">
      <w:pPr>
        <w:rPr>
          <w:rFonts w:ascii="Arial" w:eastAsia="Times New Roman" w:hAnsi="Arial" w:cs="Arial"/>
          <w:sz w:val="22"/>
          <w:lang w:eastAsia="de-DE"/>
        </w:rPr>
      </w:pPr>
    </w:p>
    <w:p w14:paraId="4BD01BBA" w14:textId="6F0DF5FE" w:rsidR="005424F1" w:rsidRPr="005424F1" w:rsidRDefault="005424F1" w:rsidP="005424F1">
      <w:pPr>
        <w:rPr>
          <w:rFonts w:ascii="Arial" w:eastAsia="Times New Roman" w:hAnsi="Arial" w:cs="Arial"/>
          <w:sz w:val="22"/>
          <w:lang w:eastAsia="de-DE"/>
        </w:rPr>
      </w:pPr>
      <w:r w:rsidRPr="005424F1">
        <w:rPr>
          <w:rFonts w:ascii="Arial" w:eastAsia="Times New Roman" w:hAnsi="Arial" w:cs="Arial"/>
          <w:sz w:val="22"/>
          <w:lang w:eastAsia="de-DE"/>
        </w:rPr>
        <w:t>Die Preise für Energie (Haushaltsenergie und Kraftstoffe) stiegen seit 2020 noch drastischer,</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um 51,0 </w:t>
      </w:r>
      <w:r>
        <w:rPr>
          <w:rFonts w:ascii="Arial" w:eastAsia="Times New Roman" w:hAnsi="Arial" w:cs="Arial"/>
          <w:sz w:val="22"/>
          <w:lang w:eastAsia="de-DE"/>
        </w:rPr>
        <w:t>%</w:t>
      </w:r>
      <w:r w:rsidRPr="005424F1">
        <w:rPr>
          <w:rFonts w:ascii="Arial" w:eastAsia="Times New Roman" w:hAnsi="Arial" w:cs="Arial"/>
          <w:sz w:val="22"/>
          <w:lang w:eastAsia="de-DE"/>
        </w:rPr>
        <w:t>.</w:t>
      </w:r>
      <w:r>
        <w:rPr>
          <w:rFonts w:ascii="Arial" w:eastAsia="Times New Roman" w:hAnsi="Arial" w:cs="Arial"/>
          <w:sz w:val="22"/>
          <w:lang w:eastAsia="de-DE"/>
        </w:rPr>
        <w:t xml:space="preserve"> </w:t>
      </w:r>
      <w:r w:rsidRPr="005424F1">
        <w:rPr>
          <w:rFonts w:ascii="Arial" w:eastAsia="Times New Roman" w:hAnsi="Arial" w:cs="Arial"/>
          <w:sz w:val="22"/>
          <w:lang w:eastAsia="de-DE"/>
        </w:rPr>
        <w:t>Im Vergleich zum Jahr 2022 erhöhten sich die Preise der Energieprodukte um durchschnittlich</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6,3 </w:t>
      </w:r>
      <w:r>
        <w:rPr>
          <w:rFonts w:ascii="Arial" w:eastAsia="Times New Roman" w:hAnsi="Arial" w:cs="Arial"/>
          <w:sz w:val="22"/>
          <w:lang w:eastAsia="de-DE"/>
        </w:rPr>
        <w:t>%</w:t>
      </w:r>
      <w:r w:rsidRPr="005424F1">
        <w:rPr>
          <w:rFonts w:ascii="Arial" w:eastAsia="Times New Roman" w:hAnsi="Arial" w:cs="Arial"/>
          <w:sz w:val="22"/>
          <w:lang w:eastAsia="de-DE"/>
        </w:rPr>
        <w:t>. Die Preisentwicklung der Energieprodukte verlief jedoch sehr unterschiedlich. Deutlich</w:t>
      </w:r>
      <w:r>
        <w:rPr>
          <w:rFonts w:ascii="Arial" w:eastAsia="Times New Roman" w:hAnsi="Arial" w:cs="Arial"/>
          <w:sz w:val="22"/>
          <w:lang w:eastAsia="de-DE"/>
        </w:rPr>
        <w:t xml:space="preserve"> </w:t>
      </w:r>
      <w:r w:rsidRPr="005424F1">
        <w:rPr>
          <w:rFonts w:ascii="Arial" w:eastAsia="Times New Roman" w:hAnsi="Arial" w:cs="Arial"/>
          <w:sz w:val="22"/>
          <w:lang w:eastAsia="de-DE"/>
        </w:rPr>
        <w:t>teurer wurde</w:t>
      </w:r>
      <w:r w:rsidR="009A5441">
        <w:rPr>
          <w:rFonts w:ascii="Arial" w:eastAsia="Times New Roman" w:hAnsi="Arial" w:cs="Arial"/>
          <w:sz w:val="22"/>
          <w:lang w:eastAsia="de-DE"/>
        </w:rPr>
        <w:t>n</w:t>
      </w:r>
      <w:r w:rsidRPr="005424F1">
        <w:rPr>
          <w:rFonts w:ascii="Arial" w:eastAsia="Times New Roman" w:hAnsi="Arial" w:cs="Arial"/>
          <w:sz w:val="22"/>
          <w:lang w:eastAsia="de-DE"/>
        </w:rPr>
        <w:t xml:space="preserve"> Fernwärme (+22,4 </w:t>
      </w:r>
      <w:r>
        <w:rPr>
          <w:rFonts w:ascii="Arial" w:eastAsia="Times New Roman" w:hAnsi="Arial" w:cs="Arial"/>
          <w:sz w:val="22"/>
          <w:lang w:eastAsia="de-DE"/>
        </w:rPr>
        <w:t>%</w:t>
      </w:r>
      <w:r w:rsidRPr="005424F1">
        <w:rPr>
          <w:rFonts w:ascii="Arial" w:eastAsia="Times New Roman" w:hAnsi="Arial" w:cs="Arial"/>
          <w:sz w:val="22"/>
          <w:lang w:eastAsia="de-DE"/>
        </w:rPr>
        <w:t xml:space="preserve">), Strom (+20,9 </w:t>
      </w:r>
      <w:r>
        <w:rPr>
          <w:rFonts w:ascii="Arial" w:eastAsia="Times New Roman" w:hAnsi="Arial" w:cs="Arial"/>
          <w:sz w:val="22"/>
          <w:lang w:eastAsia="de-DE"/>
        </w:rPr>
        <w:t>%</w:t>
      </w:r>
      <w:r w:rsidRPr="005424F1">
        <w:rPr>
          <w:rFonts w:ascii="Arial" w:eastAsia="Times New Roman" w:hAnsi="Arial" w:cs="Arial"/>
          <w:sz w:val="22"/>
          <w:lang w:eastAsia="de-DE"/>
        </w:rPr>
        <w:t>), Gas, einschließlich Betriebskosten</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(+15,2 </w:t>
      </w:r>
      <w:r>
        <w:rPr>
          <w:rFonts w:ascii="Arial" w:eastAsia="Times New Roman" w:hAnsi="Arial" w:cs="Arial"/>
          <w:sz w:val="22"/>
          <w:lang w:eastAsia="de-DE"/>
        </w:rPr>
        <w:t>%</w:t>
      </w:r>
      <w:r w:rsidRPr="005424F1">
        <w:rPr>
          <w:rFonts w:ascii="Arial" w:eastAsia="Times New Roman" w:hAnsi="Arial" w:cs="Arial"/>
          <w:sz w:val="22"/>
          <w:lang w:eastAsia="de-DE"/>
        </w:rPr>
        <w:t xml:space="preserve">) sowie feste Brennstoffe (+12,6 </w:t>
      </w:r>
      <w:r>
        <w:rPr>
          <w:rFonts w:ascii="Arial" w:eastAsia="Times New Roman" w:hAnsi="Arial" w:cs="Arial"/>
          <w:sz w:val="22"/>
          <w:lang w:eastAsia="de-DE"/>
        </w:rPr>
        <w:t>%</w:t>
      </w:r>
      <w:r w:rsidRPr="005424F1">
        <w:rPr>
          <w:rFonts w:ascii="Arial" w:eastAsia="Times New Roman" w:hAnsi="Arial" w:cs="Arial"/>
          <w:sz w:val="22"/>
          <w:lang w:eastAsia="de-DE"/>
        </w:rPr>
        <w:t xml:space="preserve">). Günstiger als im Vorjahr wurden Heizöl, einschließlich Betriebskosten (-7,7 </w:t>
      </w:r>
      <w:r>
        <w:rPr>
          <w:rFonts w:ascii="Arial" w:eastAsia="Times New Roman" w:hAnsi="Arial" w:cs="Arial"/>
          <w:sz w:val="22"/>
          <w:lang w:eastAsia="de-DE"/>
        </w:rPr>
        <w:t>%</w:t>
      </w:r>
      <w:r w:rsidRPr="005424F1">
        <w:rPr>
          <w:rFonts w:ascii="Arial" w:eastAsia="Times New Roman" w:hAnsi="Arial" w:cs="Arial"/>
          <w:sz w:val="22"/>
          <w:lang w:eastAsia="de-DE"/>
        </w:rPr>
        <w:t xml:space="preserve">) und Kraftstoffe (-5,1 </w:t>
      </w:r>
      <w:r>
        <w:rPr>
          <w:rFonts w:ascii="Arial" w:eastAsia="Times New Roman" w:hAnsi="Arial" w:cs="Arial"/>
          <w:sz w:val="22"/>
          <w:lang w:eastAsia="de-DE"/>
        </w:rPr>
        <w:t>%</w:t>
      </w:r>
      <w:r w:rsidRPr="005424F1">
        <w:rPr>
          <w:rFonts w:ascii="Arial" w:eastAsia="Times New Roman" w:hAnsi="Arial" w:cs="Arial"/>
          <w:sz w:val="22"/>
          <w:lang w:eastAsia="de-DE"/>
        </w:rPr>
        <w:t>) angeboten.</w:t>
      </w:r>
    </w:p>
    <w:p w14:paraId="7ACC372A" w14:textId="77777777" w:rsidR="000A3412" w:rsidRDefault="000A3412" w:rsidP="000617F0">
      <w:pPr>
        <w:rPr>
          <w:rFonts w:ascii="Arial" w:eastAsia="Times New Roman" w:hAnsi="Arial" w:cs="Arial"/>
          <w:sz w:val="22"/>
          <w:lang w:eastAsia="de-DE"/>
        </w:rPr>
      </w:pPr>
    </w:p>
    <w:p w14:paraId="7A10308B"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t>Konjunkturaussichten</w:t>
      </w:r>
    </w:p>
    <w:p w14:paraId="5A23315E" w14:textId="77777777" w:rsidR="000617F0" w:rsidRDefault="000617F0" w:rsidP="000617F0">
      <w:pPr>
        <w:rPr>
          <w:rFonts w:ascii="Arial" w:eastAsia="Times New Roman" w:hAnsi="Arial" w:cs="Arial"/>
          <w:sz w:val="22"/>
          <w:lang w:eastAsia="de-DE"/>
        </w:rPr>
      </w:pPr>
    </w:p>
    <w:p w14:paraId="26709194" w14:textId="3B703C3E" w:rsidR="002C077A" w:rsidRDefault="00F7055E" w:rsidP="000617F0">
      <w:pPr>
        <w:rPr>
          <w:rFonts w:ascii="Arial" w:eastAsia="Times New Roman" w:hAnsi="Arial" w:cs="Arial"/>
          <w:sz w:val="22"/>
          <w:lang w:eastAsia="de-DE"/>
        </w:rPr>
      </w:pPr>
      <w:r>
        <w:rPr>
          <w:rFonts w:ascii="Arial" w:eastAsia="Times New Roman" w:hAnsi="Arial" w:cs="Arial"/>
          <w:sz w:val="22"/>
          <w:lang w:eastAsia="de-DE"/>
        </w:rPr>
        <w:t xml:space="preserve">Die Prognosen führender Wirtschaftsinstitute </w:t>
      </w:r>
      <w:r w:rsidR="00FB3A63">
        <w:rPr>
          <w:rFonts w:ascii="Arial" w:eastAsia="Times New Roman" w:hAnsi="Arial" w:cs="Arial"/>
          <w:sz w:val="22"/>
          <w:lang w:eastAsia="de-DE"/>
        </w:rPr>
        <w:t xml:space="preserve">und des </w:t>
      </w:r>
      <w:r w:rsidR="00FB3A63" w:rsidRPr="00FB3A63">
        <w:rPr>
          <w:rFonts w:ascii="Arial" w:hAnsi="Arial" w:cs="Arial"/>
          <w:sz w:val="22"/>
        </w:rPr>
        <w:t>Sachverständigenrat</w:t>
      </w:r>
      <w:r w:rsidR="009C4381">
        <w:rPr>
          <w:rFonts w:ascii="Arial" w:hAnsi="Arial" w:cs="Arial"/>
          <w:sz w:val="22"/>
        </w:rPr>
        <w:t>s</w:t>
      </w:r>
      <w:r w:rsidR="00FB3A63" w:rsidRPr="00FB3A63">
        <w:rPr>
          <w:rFonts w:ascii="Arial" w:hAnsi="Arial" w:cs="Arial"/>
          <w:sz w:val="22"/>
        </w:rPr>
        <w:t xml:space="preserve"> zur Begutachtung der gesamtwirtschaftlichen Entwicklung, der die Regierung berät, </w:t>
      </w:r>
      <w:r>
        <w:rPr>
          <w:rFonts w:ascii="Arial" w:eastAsia="Times New Roman" w:hAnsi="Arial" w:cs="Arial"/>
          <w:sz w:val="22"/>
          <w:lang w:eastAsia="de-DE"/>
        </w:rPr>
        <w:t xml:space="preserve">gehen </w:t>
      </w:r>
      <w:r w:rsidR="009C4381">
        <w:rPr>
          <w:rFonts w:ascii="Arial" w:eastAsia="Times New Roman" w:hAnsi="Arial" w:cs="Arial"/>
          <w:sz w:val="22"/>
          <w:lang w:eastAsia="de-DE"/>
        </w:rPr>
        <w:t xml:space="preserve">für das Jahr 2024 </w:t>
      </w:r>
      <w:r>
        <w:rPr>
          <w:rFonts w:ascii="Arial" w:eastAsia="Times New Roman" w:hAnsi="Arial" w:cs="Arial"/>
          <w:sz w:val="22"/>
          <w:lang w:eastAsia="de-DE"/>
        </w:rPr>
        <w:t xml:space="preserve">deutlich auseinander. So erwartet das Institut der deutschen Wirtschaft (IW) angesichts der weltweiten Krisen und des Streits um den Bundeshaushalt einen Rückgang des BIP um voraussichtlich 0,5 %. Für diese Prognose untersuchten Forscher des IW insbesondere die Auswirkungen entfallender Staatsausgaben von 20 Mrd. Euro. </w:t>
      </w:r>
    </w:p>
    <w:p w14:paraId="2153BB9F" w14:textId="77777777" w:rsidR="002C077A" w:rsidRDefault="002C077A" w:rsidP="000617F0">
      <w:pPr>
        <w:rPr>
          <w:rFonts w:ascii="Arial" w:eastAsia="Times New Roman" w:hAnsi="Arial" w:cs="Arial"/>
          <w:sz w:val="22"/>
          <w:lang w:eastAsia="de-DE"/>
        </w:rPr>
      </w:pPr>
    </w:p>
    <w:p w14:paraId="49D0E29F" w14:textId="478DADDC" w:rsidR="00F7055E" w:rsidRDefault="00F7055E" w:rsidP="000617F0">
      <w:pPr>
        <w:rPr>
          <w:rFonts w:ascii="Arial" w:eastAsia="Times New Roman" w:hAnsi="Arial" w:cs="Arial"/>
          <w:sz w:val="22"/>
          <w:lang w:eastAsia="de-DE"/>
        </w:rPr>
      </w:pPr>
      <w:r>
        <w:rPr>
          <w:rFonts w:ascii="Arial" w:eastAsia="Times New Roman" w:hAnsi="Arial" w:cs="Arial"/>
          <w:sz w:val="22"/>
          <w:lang w:eastAsia="de-DE"/>
        </w:rPr>
        <w:t>Das IW erwartet keine Senkung der Zinsen und rechnet deshalb mit einem weiteren schwierigen Jahr für die Bauwirtschaft. Im Bereich der Dienstleistungen sehen sie für 2024 einen leichten Aufwärtstrend</w:t>
      </w:r>
      <w:r w:rsidR="00980C42">
        <w:rPr>
          <w:rFonts w:ascii="Arial" w:eastAsia="Times New Roman" w:hAnsi="Arial" w:cs="Arial"/>
          <w:sz w:val="22"/>
          <w:lang w:eastAsia="de-DE"/>
        </w:rPr>
        <w:t>, da bei der Inflation mit Entspannung gerechnet wird. So werden die Verbraucherpreise voraussichtlich mit durchschnittlich 3 % nur noch halb so stark steigen wie 2023.</w:t>
      </w:r>
    </w:p>
    <w:p w14:paraId="49550C06" w14:textId="77777777" w:rsidR="00F7055E" w:rsidRPr="00FB3A63" w:rsidRDefault="00F7055E" w:rsidP="000617F0">
      <w:pPr>
        <w:rPr>
          <w:rFonts w:ascii="Arial" w:eastAsia="Times New Roman" w:hAnsi="Arial" w:cs="Arial"/>
          <w:sz w:val="22"/>
          <w:lang w:eastAsia="de-DE"/>
        </w:rPr>
      </w:pPr>
    </w:p>
    <w:p w14:paraId="67F7A860" w14:textId="77777777" w:rsidR="002C077A" w:rsidRDefault="00FB3A63" w:rsidP="00FB3A63">
      <w:pPr>
        <w:rPr>
          <w:rFonts w:ascii="Arial" w:eastAsia="Times New Roman" w:hAnsi="Arial" w:cs="Arial"/>
          <w:sz w:val="22"/>
          <w:lang w:eastAsia="de-DE"/>
        </w:rPr>
      </w:pPr>
      <w:r w:rsidRPr="00FB3A63">
        <w:rPr>
          <w:rFonts w:ascii="Arial" w:hAnsi="Arial" w:cs="Arial"/>
          <w:sz w:val="22"/>
        </w:rPr>
        <w:t xml:space="preserve">Der Sachverständigenrat zur Begutachtung der gesamtwirtschaftlichen Entwicklung prognostizierte in </w:t>
      </w:r>
      <w:r>
        <w:rPr>
          <w:rFonts w:ascii="Arial" w:hAnsi="Arial" w:cs="Arial"/>
          <w:sz w:val="22"/>
        </w:rPr>
        <w:t>seinem</w:t>
      </w:r>
      <w:r w:rsidRPr="00FB3A63">
        <w:rPr>
          <w:rFonts w:ascii="Arial" w:hAnsi="Arial" w:cs="Arial"/>
          <w:sz w:val="22"/>
        </w:rPr>
        <w:t xml:space="preserve"> Jahresgutachten </w:t>
      </w:r>
      <w:r>
        <w:rPr>
          <w:rFonts w:ascii="Arial" w:hAnsi="Arial" w:cs="Arial"/>
          <w:sz w:val="22"/>
        </w:rPr>
        <w:t xml:space="preserve">2023/2024 </w:t>
      </w:r>
      <w:r w:rsidRPr="00FB3A63">
        <w:rPr>
          <w:rFonts w:ascii="Arial" w:hAnsi="Arial" w:cs="Arial"/>
          <w:sz w:val="22"/>
        </w:rPr>
        <w:t xml:space="preserve">ein Plus von 0,7 </w:t>
      </w:r>
      <w:r>
        <w:rPr>
          <w:rFonts w:ascii="Arial" w:hAnsi="Arial" w:cs="Arial"/>
          <w:sz w:val="22"/>
        </w:rPr>
        <w:t>% für das Jahr 2024</w:t>
      </w:r>
      <w:r w:rsidRPr="00FB3A63">
        <w:rPr>
          <w:rFonts w:ascii="Arial" w:hAnsi="Arial" w:cs="Arial"/>
          <w:sz w:val="22"/>
        </w:rPr>
        <w:t>.</w:t>
      </w:r>
      <w:r>
        <w:rPr>
          <w:rFonts w:ascii="Arial" w:hAnsi="Arial" w:cs="Arial"/>
          <w:sz w:val="22"/>
        </w:rPr>
        <w:t xml:space="preserve"> </w:t>
      </w:r>
      <w:r w:rsidRPr="00FB3A63">
        <w:rPr>
          <w:rFonts w:ascii="Arial" w:eastAsia="Times New Roman" w:hAnsi="Arial" w:cs="Arial"/>
          <w:sz w:val="22"/>
          <w:lang w:eastAsia="de-DE"/>
        </w:rPr>
        <w:t>Im Jahr 2023 brems</w:t>
      </w:r>
      <w:r>
        <w:rPr>
          <w:rFonts w:ascii="Arial" w:eastAsia="Times New Roman" w:hAnsi="Arial" w:cs="Arial"/>
          <w:sz w:val="22"/>
          <w:lang w:eastAsia="de-DE"/>
        </w:rPr>
        <w:t>t</w:t>
      </w:r>
      <w:r w:rsidRPr="00FB3A63">
        <w:rPr>
          <w:rFonts w:ascii="Arial" w:eastAsia="Times New Roman" w:hAnsi="Arial" w:cs="Arial"/>
          <w:sz w:val="22"/>
          <w:lang w:eastAsia="de-DE"/>
        </w:rPr>
        <w:t>en rückläufige Konsumausgaben das Wachstum der deutschen Wirtschaft. Im Jahr 2024 dürften eine sinkende Inflation und steigende Einkommen zu einer verhaltenen Erholung führen.</w:t>
      </w:r>
      <w:r>
        <w:rPr>
          <w:rFonts w:ascii="Arial" w:eastAsia="Times New Roman" w:hAnsi="Arial" w:cs="Arial"/>
          <w:sz w:val="22"/>
          <w:lang w:eastAsia="de-DE"/>
        </w:rPr>
        <w:t xml:space="preserve"> </w:t>
      </w:r>
    </w:p>
    <w:p w14:paraId="549476EC" w14:textId="77777777" w:rsidR="002C077A" w:rsidRDefault="002C077A" w:rsidP="00FB3A63">
      <w:pPr>
        <w:rPr>
          <w:rFonts w:ascii="Arial" w:eastAsia="Times New Roman" w:hAnsi="Arial" w:cs="Arial"/>
          <w:sz w:val="22"/>
          <w:lang w:eastAsia="de-DE"/>
        </w:rPr>
      </w:pPr>
    </w:p>
    <w:p w14:paraId="1E971B88" w14:textId="23036709" w:rsidR="00F7055E" w:rsidRDefault="00FB3A63" w:rsidP="00FB3A63">
      <w:pPr>
        <w:rPr>
          <w:rFonts w:ascii="Arial" w:eastAsia="Times New Roman" w:hAnsi="Arial" w:cs="Arial"/>
          <w:sz w:val="22"/>
          <w:lang w:eastAsia="de-DE"/>
        </w:rPr>
      </w:pPr>
      <w:r w:rsidRPr="00FB3A63">
        <w:rPr>
          <w:rFonts w:ascii="Arial" w:eastAsia="Times New Roman" w:hAnsi="Arial" w:cs="Arial"/>
          <w:sz w:val="22"/>
          <w:lang w:eastAsia="de-DE"/>
        </w:rPr>
        <w:t>Die Prognose unterliegt angesichts der Unsicherheit über das private Ausgabeverhalten und</w:t>
      </w:r>
      <w:r>
        <w:rPr>
          <w:rFonts w:ascii="Arial" w:eastAsia="Times New Roman" w:hAnsi="Arial" w:cs="Arial"/>
          <w:sz w:val="22"/>
          <w:lang w:eastAsia="de-DE"/>
        </w:rPr>
        <w:t xml:space="preserve"> </w:t>
      </w:r>
      <w:r w:rsidRPr="00FB3A63">
        <w:rPr>
          <w:rFonts w:ascii="Arial" w:eastAsia="Times New Roman" w:hAnsi="Arial" w:cs="Arial"/>
          <w:sz w:val="22"/>
          <w:lang w:eastAsia="de-DE"/>
        </w:rPr>
        <w:t>die Weltkonjunktur sowie der unsicheren Wirkung der Geldpolitik erheblichen Abwärtsrisiken.</w:t>
      </w:r>
      <w:r>
        <w:rPr>
          <w:rFonts w:ascii="Arial" w:eastAsia="Times New Roman" w:hAnsi="Arial" w:cs="Arial"/>
          <w:sz w:val="22"/>
          <w:lang w:eastAsia="de-DE"/>
        </w:rPr>
        <w:t xml:space="preserve"> </w:t>
      </w:r>
      <w:r w:rsidRPr="00FB3A63">
        <w:rPr>
          <w:rFonts w:ascii="Arial" w:eastAsia="Times New Roman" w:hAnsi="Arial" w:cs="Arial"/>
          <w:sz w:val="22"/>
          <w:lang w:eastAsia="de-DE"/>
        </w:rPr>
        <w:t>So könnten eine ausbleibende Erholung in China, eine Verschärfung der weltpolitischen Lage, ein erneuter Anstieg der Energiepreise,</w:t>
      </w:r>
      <w:r>
        <w:rPr>
          <w:rFonts w:ascii="Arial" w:eastAsia="Times New Roman" w:hAnsi="Arial" w:cs="Arial"/>
          <w:sz w:val="22"/>
          <w:lang w:eastAsia="de-DE"/>
        </w:rPr>
        <w:t xml:space="preserve"> </w:t>
      </w:r>
      <w:r w:rsidRPr="00FB3A63">
        <w:rPr>
          <w:rFonts w:ascii="Arial" w:eastAsia="Times New Roman" w:hAnsi="Arial" w:cs="Arial"/>
          <w:sz w:val="22"/>
          <w:lang w:eastAsia="de-DE"/>
        </w:rPr>
        <w:t xml:space="preserve">eine stärkere Dämpfung der Nachfrage durch die </w:t>
      </w:r>
      <w:proofErr w:type="gramStart"/>
      <w:r w:rsidRPr="00FB3A63">
        <w:rPr>
          <w:rFonts w:ascii="Arial" w:eastAsia="Times New Roman" w:hAnsi="Arial" w:cs="Arial"/>
          <w:sz w:val="22"/>
          <w:lang w:eastAsia="de-DE"/>
        </w:rPr>
        <w:t>Geldpolitik</w:t>
      </w:r>
      <w:proofErr w:type="gramEnd"/>
      <w:r w:rsidRPr="00FB3A63">
        <w:rPr>
          <w:rFonts w:ascii="Arial" w:eastAsia="Times New Roman" w:hAnsi="Arial" w:cs="Arial"/>
          <w:sz w:val="22"/>
          <w:lang w:eastAsia="de-DE"/>
        </w:rPr>
        <w:t xml:space="preserve"> als erwartet oder ein zurückhaltendes Ausgabeverhalten der Verbraucher das Wachstum bremsen.</w:t>
      </w:r>
    </w:p>
    <w:p w14:paraId="1C221436" w14:textId="77777777" w:rsidR="00F7055E" w:rsidRDefault="00F7055E" w:rsidP="000617F0">
      <w:pPr>
        <w:rPr>
          <w:rFonts w:ascii="Arial" w:eastAsia="Times New Roman" w:hAnsi="Arial" w:cs="Arial"/>
          <w:sz w:val="22"/>
          <w:lang w:eastAsia="de-DE"/>
        </w:rPr>
      </w:pPr>
    </w:p>
    <w:p w14:paraId="66CD2678" w14:textId="77777777" w:rsidR="00EE6FB6" w:rsidRDefault="002C077A" w:rsidP="008B4373">
      <w:pPr>
        <w:rPr>
          <w:rFonts w:ascii="Arial" w:hAnsi="Arial" w:cs="Arial"/>
          <w:sz w:val="22"/>
        </w:rPr>
      </w:pPr>
      <w:r w:rsidRPr="002C077A">
        <w:rPr>
          <w:rFonts w:ascii="Arial" w:eastAsia="Times New Roman" w:hAnsi="Arial" w:cs="Arial"/>
          <w:sz w:val="22"/>
          <w:lang w:eastAsia="de-DE"/>
        </w:rPr>
        <w:t xml:space="preserve">Auch das ifo-Institut geht von einer Erholung der deutschen Wirtschaft, wenn auch langsamer als bisher erwartet, aus. </w:t>
      </w:r>
      <w:r w:rsidRPr="002C077A">
        <w:rPr>
          <w:rFonts w:ascii="Arial" w:hAnsi="Arial" w:cs="Arial"/>
          <w:sz w:val="22"/>
        </w:rPr>
        <w:t>D</w:t>
      </w:r>
      <w:r>
        <w:rPr>
          <w:rFonts w:ascii="Arial" w:hAnsi="Arial" w:cs="Arial"/>
          <w:sz w:val="22"/>
        </w:rPr>
        <w:t>er Rückgang der</w:t>
      </w:r>
      <w:r w:rsidRPr="002C077A">
        <w:rPr>
          <w:rFonts w:ascii="Arial" w:hAnsi="Arial" w:cs="Arial"/>
          <w:sz w:val="22"/>
        </w:rPr>
        <w:t xml:space="preserve"> Inflation</w:t>
      </w:r>
      <w:r>
        <w:rPr>
          <w:rFonts w:ascii="Arial" w:hAnsi="Arial" w:cs="Arial"/>
          <w:sz w:val="22"/>
        </w:rPr>
        <w:t xml:space="preserve">, steigende Löhne und hohe Beschäftigungsraten steigern die </w:t>
      </w:r>
      <w:r w:rsidRPr="002C077A">
        <w:rPr>
          <w:rFonts w:ascii="Arial" w:hAnsi="Arial" w:cs="Arial"/>
          <w:sz w:val="22"/>
        </w:rPr>
        <w:t>Kaufkraft</w:t>
      </w:r>
      <w:r>
        <w:rPr>
          <w:rFonts w:ascii="Arial" w:hAnsi="Arial" w:cs="Arial"/>
          <w:sz w:val="22"/>
        </w:rPr>
        <w:t xml:space="preserve">. Dadurch sollte die </w:t>
      </w:r>
      <w:r w:rsidRPr="002C077A">
        <w:rPr>
          <w:rFonts w:ascii="Arial" w:hAnsi="Arial" w:cs="Arial"/>
          <w:sz w:val="22"/>
        </w:rPr>
        <w:t>gesamtwirtschaftliche Nachfrage wieder zulegen</w:t>
      </w:r>
      <w:r>
        <w:rPr>
          <w:rFonts w:ascii="Arial" w:hAnsi="Arial" w:cs="Arial"/>
          <w:sz w:val="22"/>
        </w:rPr>
        <w:t xml:space="preserve"> und das preisbereinigte BIP </w:t>
      </w:r>
      <w:r w:rsidRPr="002C077A">
        <w:rPr>
          <w:rFonts w:ascii="Arial" w:hAnsi="Arial" w:cs="Arial"/>
          <w:sz w:val="22"/>
        </w:rPr>
        <w:t xml:space="preserve">im Jahr 2024 </w:t>
      </w:r>
      <w:r>
        <w:rPr>
          <w:rFonts w:ascii="Arial" w:hAnsi="Arial" w:cs="Arial"/>
          <w:sz w:val="22"/>
        </w:rPr>
        <w:t xml:space="preserve">voraussichtlich </w:t>
      </w:r>
      <w:r w:rsidRPr="002C077A">
        <w:rPr>
          <w:rFonts w:ascii="Arial" w:hAnsi="Arial" w:cs="Arial"/>
          <w:sz w:val="22"/>
        </w:rPr>
        <w:t xml:space="preserve">um 0,9 % steigen. </w:t>
      </w:r>
    </w:p>
    <w:p w14:paraId="14ACEA56" w14:textId="77777777" w:rsidR="00EE6FB6" w:rsidRDefault="00EE6FB6" w:rsidP="008B4373">
      <w:pPr>
        <w:rPr>
          <w:rFonts w:ascii="Arial" w:hAnsi="Arial" w:cs="Arial"/>
          <w:sz w:val="22"/>
        </w:rPr>
      </w:pPr>
    </w:p>
    <w:p w14:paraId="602EA992" w14:textId="6749C8E5" w:rsidR="002C077A" w:rsidRDefault="002C077A" w:rsidP="008B4373">
      <w:pPr>
        <w:rPr>
          <w:rFonts w:ascii="Arial" w:hAnsi="Arial" w:cs="Arial"/>
          <w:sz w:val="22"/>
        </w:rPr>
      </w:pPr>
      <w:r w:rsidRPr="002C077A">
        <w:rPr>
          <w:rFonts w:ascii="Arial" w:hAnsi="Arial" w:cs="Arial"/>
          <w:sz w:val="22"/>
        </w:rPr>
        <w:t xml:space="preserve"> </w:t>
      </w:r>
      <w:r>
        <w:rPr>
          <w:rFonts w:ascii="Arial" w:hAnsi="Arial" w:cs="Arial"/>
          <w:sz w:val="22"/>
        </w:rPr>
        <w:br w:type="page"/>
      </w:r>
    </w:p>
    <w:p w14:paraId="6AB16C39"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lastRenderedPageBreak/>
        <w:t>Demografische Entwicklung</w:t>
      </w:r>
    </w:p>
    <w:p w14:paraId="3391C8DC" w14:textId="77777777" w:rsidR="000617F0" w:rsidRPr="00A77386" w:rsidRDefault="000617F0" w:rsidP="000617F0">
      <w:pPr>
        <w:rPr>
          <w:rFonts w:ascii="Arial" w:eastAsia="Times New Roman" w:hAnsi="Arial" w:cs="Arial"/>
          <w:sz w:val="22"/>
          <w:lang w:eastAsia="de-DE"/>
        </w:rPr>
      </w:pPr>
    </w:p>
    <w:p w14:paraId="2FF4A833" w14:textId="05C3BEA7" w:rsidR="002C077A" w:rsidRPr="00F61F2D" w:rsidRDefault="00A77386" w:rsidP="000617F0">
      <w:pPr>
        <w:rPr>
          <w:rFonts w:ascii="Arial" w:hAnsi="Arial" w:cs="Arial"/>
          <w:sz w:val="22"/>
        </w:rPr>
      </w:pPr>
      <w:r w:rsidRPr="00F61F2D">
        <w:rPr>
          <w:rFonts w:ascii="Arial" w:hAnsi="Arial" w:cs="Arial"/>
          <w:sz w:val="22"/>
        </w:rPr>
        <w:t>Die Bevölkerung in Deutschland ist im Jahr 2022 um 1,3 % (+1.122.000 Personen) gewachsen</w:t>
      </w:r>
      <w:r w:rsidR="00F61F2D" w:rsidRPr="00F61F2D">
        <w:rPr>
          <w:rFonts w:ascii="Arial" w:hAnsi="Arial" w:cs="Arial"/>
          <w:sz w:val="22"/>
        </w:rPr>
        <w:t>.</w:t>
      </w:r>
      <w:r w:rsidRPr="00F61F2D">
        <w:rPr>
          <w:rFonts w:ascii="Arial" w:hAnsi="Arial" w:cs="Arial"/>
          <w:sz w:val="22"/>
        </w:rPr>
        <w:t xml:space="preserve"> Wie das Statistische Bundesamt (Destatis) mitteilte, lebten zum Jahresende 2022 gut 84,4 Millionen Personen in Deutschland. </w:t>
      </w:r>
      <w:r w:rsidR="00F61F2D" w:rsidRPr="00F61F2D">
        <w:rPr>
          <w:rFonts w:ascii="Arial" w:hAnsi="Arial" w:cs="Arial"/>
          <w:sz w:val="22"/>
        </w:rPr>
        <w:t xml:space="preserve">Damit lebten hierzulande so viele Menschen wie noch nie am Ende eines Jahres. </w:t>
      </w:r>
      <w:r w:rsidRPr="00F61F2D">
        <w:rPr>
          <w:rFonts w:ascii="Arial" w:hAnsi="Arial" w:cs="Arial"/>
          <w:sz w:val="22"/>
        </w:rPr>
        <w:t>Diese Entwicklung ist auf einen deutlichen Anstieg der Nettozuwanderung auf 1.455.000 zurückzuführen (2021: 329.000), vor allem bedingt durch die Fluchtbewegungen aus der Ukraine). Gleichzeitig sind auch im Jahr 2022 wie in den Vorjahren mehr Menschen gestorben als geboren w</w:t>
      </w:r>
      <w:r w:rsidR="009C4381">
        <w:rPr>
          <w:rFonts w:ascii="Arial" w:hAnsi="Arial" w:cs="Arial"/>
          <w:sz w:val="22"/>
        </w:rPr>
        <w:t>u</w:t>
      </w:r>
      <w:r w:rsidRPr="00F61F2D">
        <w:rPr>
          <w:rFonts w:ascii="Arial" w:hAnsi="Arial" w:cs="Arial"/>
          <w:sz w:val="22"/>
        </w:rPr>
        <w:t>rden: Der Überschuss der Sterbefälle über die Zahl der Geburten stieg weiter auf 327.000 (2021: 228.000).</w:t>
      </w:r>
    </w:p>
    <w:p w14:paraId="1AE21B83" w14:textId="77777777" w:rsidR="002C077A" w:rsidRPr="00F61F2D" w:rsidRDefault="002C077A" w:rsidP="000617F0">
      <w:pPr>
        <w:rPr>
          <w:rFonts w:ascii="Arial" w:hAnsi="Arial" w:cs="Arial"/>
          <w:sz w:val="22"/>
        </w:rPr>
      </w:pPr>
    </w:p>
    <w:p w14:paraId="4C740CE7" w14:textId="00872C97" w:rsidR="0098242B" w:rsidRPr="0098242B" w:rsidRDefault="0070310B" w:rsidP="000617F0">
      <w:pPr>
        <w:rPr>
          <w:rStyle w:val="markedcontent"/>
          <w:rFonts w:ascii="Arial" w:hAnsi="Arial" w:cs="Arial"/>
          <w:sz w:val="22"/>
        </w:rPr>
      </w:pPr>
      <w:r w:rsidRPr="0070310B">
        <w:rPr>
          <w:rFonts w:ascii="Arial" w:hAnsi="Arial" w:cs="Arial"/>
          <w:sz w:val="22"/>
        </w:rPr>
        <w:t>Am 30. September 2023 hatte Thüringen eine Bevölkerung von 2</w:t>
      </w:r>
      <w:r>
        <w:rPr>
          <w:rFonts w:ascii="Arial" w:hAnsi="Arial" w:cs="Arial"/>
          <w:sz w:val="22"/>
        </w:rPr>
        <w:t>.</w:t>
      </w:r>
      <w:r w:rsidRPr="0070310B">
        <w:rPr>
          <w:rFonts w:ascii="Arial" w:hAnsi="Arial" w:cs="Arial"/>
          <w:sz w:val="22"/>
        </w:rPr>
        <w:t>123</w:t>
      </w:r>
      <w:r>
        <w:rPr>
          <w:rFonts w:ascii="Arial" w:hAnsi="Arial" w:cs="Arial"/>
          <w:sz w:val="22"/>
        </w:rPr>
        <w:t>.</w:t>
      </w:r>
      <w:r w:rsidRPr="0070310B">
        <w:rPr>
          <w:rFonts w:ascii="Arial" w:hAnsi="Arial" w:cs="Arial"/>
          <w:sz w:val="22"/>
        </w:rPr>
        <w:t>783 Personen</w:t>
      </w:r>
      <w:r>
        <w:rPr>
          <w:rFonts w:ascii="Arial" w:hAnsi="Arial" w:cs="Arial"/>
          <w:sz w:val="22"/>
        </w:rPr>
        <w:t xml:space="preserve">. </w:t>
      </w:r>
      <w:r w:rsidRPr="0070310B">
        <w:rPr>
          <w:rFonts w:ascii="Arial" w:hAnsi="Arial" w:cs="Arial"/>
          <w:sz w:val="22"/>
        </w:rPr>
        <w:t>Damit reduzierte sich nach vorläufigen</w:t>
      </w:r>
      <w:r>
        <w:rPr>
          <w:rFonts w:ascii="Arial" w:hAnsi="Arial" w:cs="Arial"/>
          <w:sz w:val="22"/>
        </w:rPr>
        <w:t xml:space="preserve"> </w:t>
      </w:r>
      <w:r w:rsidRPr="0070310B">
        <w:rPr>
          <w:rFonts w:ascii="Arial" w:hAnsi="Arial" w:cs="Arial"/>
          <w:sz w:val="22"/>
        </w:rPr>
        <w:t>Ergebnissen des Thüringer Landesamtes für Statistik die Bevölkerungszahl seit Jahresbeginn bis</w:t>
      </w:r>
      <w:r>
        <w:rPr>
          <w:rFonts w:ascii="Arial" w:hAnsi="Arial" w:cs="Arial"/>
          <w:sz w:val="22"/>
        </w:rPr>
        <w:t xml:space="preserve"> </w:t>
      </w:r>
      <w:r w:rsidRPr="0070310B">
        <w:rPr>
          <w:rFonts w:ascii="Arial" w:hAnsi="Arial" w:cs="Arial"/>
          <w:sz w:val="22"/>
        </w:rPr>
        <w:t>zum 30. September 2023 um 3</w:t>
      </w:r>
      <w:r>
        <w:rPr>
          <w:rFonts w:ascii="Arial" w:hAnsi="Arial" w:cs="Arial"/>
          <w:sz w:val="22"/>
        </w:rPr>
        <w:t>.0</w:t>
      </w:r>
      <w:r w:rsidRPr="0070310B">
        <w:rPr>
          <w:rFonts w:ascii="Arial" w:hAnsi="Arial" w:cs="Arial"/>
          <w:sz w:val="22"/>
        </w:rPr>
        <w:t xml:space="preserve">63 Personen bzw. um 0,1 </w:t>
      </w:r>
      <w:r>
        <w:rPr>
          <w:rFonts w:ascii="Arial" w:hAnsi="Arial" w:cs="Arial"/>
          <w:sz w:val="22"/>
        </w:rPr>
        <w:t>%</w:t>
      </w:r>
      <w:r w:rsidRPr="0070310B">
        <w:rPr>
          <w:rFonts w:ascii="Arial" w:hAnsi="Arial" w:cs="Arial"/>
          <w:sz w:val="22"/>
        </w:rPr>
        <w:t>. Im Vergleich zum 30. September 2022 nahm die Bevölkerung Thüringens um 2</w:t>
      </w:r>
      <w:r>
        <w:rPr>
          <w:rFonts w:ascii="Arial" w:hAnsi="Arial" w:cs="Arial"/>
          <w:sz w:val="22"/>
        </w:rPr>
        <w:t>.</w:t>
      </w:r>
      <w:r w:rsidRPr="0070310B">
        <w:rPr>
          <w:rFonts w:ascii="Arial" w:hAnsi="Arial" w:cs="Arial"/>
          <w:sz w:val="22"/>
        </w:rPr>
        <w:t xml:space="preserve">436 Personen bzw. ebenfalls um 0,1 </w:t>
      </w:r>
      <w:r>
        <w:rPr>
          <w:rFonts w:ascii="Arial" w:hAnsi="Arial" w:cs="Arial"/>
          <w:sz w:val="22"/>
        </w:rPr>
        <w:t>%</w:t>
      </w:r>
      <w:r w:rsidRPr="0070310B">
        <w:rPr>
          <w:rFonts w:ascii="Arial" w:hAnsi="Arial" w:cs="Arial"/>
          <w:sz w:val="22"/>
        </w:rPr>
        <w:t xml:space="preserve"> ab.</w:t>
      </w:r>
      <w:r>
        <w:rPr>
          <w:rFonts w:ascii="Arial" w:hAnsi="Arial" w:cs="Arial"/>
          <w:sz w:val="22"/>
        </w:rPr>
        <w:t xml:space="preserve"> </w:t>
      </w:r>
      <w:r w:rsidRPr="0070310B">
        <w:rPr>
          <w:rFonts w:ascii="Arial" w:hAnsi="Arial" w:cs="Arial"/>
          <w:sz w:val="22"/>
        </w:rPr>
        <w:t>Von Januar bis September 2023 wurden in Thüringen 9</w:t>
      </w:r>
      <w:r>
        <w:rPr>
          <w:rFonts w:ascii="Arial" w:hAnsi="Arial" w:cs="Arial"/>
          <w:sz w:val="22"/>
        </w:rPr>
        <w:t>.</w:t>
      </w:r>
      <w:r w:rsidRPr="0070310B">
        <w:rPr>
          <w:rFonts w:ascii="Arial" w:hAnsi="Arial" w:cs="Arial"/>
          <w:sz w:val="22"/>
        </w:rPr>
        <w:t>812 Kinder geboren. Im selben Zeitraum starben 22</w:t>
      </w:r>
      <w:r>
        <w:rPr>
          <w:rFonts w:ascii="Arial" w:hAnsi="Arial" w:cs="Arial"/>
          <w:sz w:val="22"/>
        </w:rPr>
        <w:t>.</w:t>
      </w:r>
      <w:r w:rsidRPr="0070310B">
        <w:rPr>
          <w:rFonts w:ascii="Arial" w:hAnsi="Arial" w:cs="Arial"/>
          <w:sz w:val="22"/>
        </w:rPr>
        <w:t>652 Menschen.</w:t>
      </w:r>
      <w:r>
        <w:rPr>
          <w:rFonts w:ascii="Arial" w:hAnsi="Arial" w:cs="Arial"/>
          <w:sz w:val="22"/>
        </w:rPr>
        <w:t xml:space="preserve"> Ein </w:t>
      </w:r>
      <w:r w:rsidRPr="0070310B">
        <w:rPr>
          <w:rFonts w:ascii="Arial" w:hAnsi="Arial" w:cs="Arial"/>
          <w:sz w:val="22"/>
        </w:rPr>
        <w:t>Wanderungsgewinn</w:t>
      </w:r>
      <w:r>
        <w:rPr>
          <w:rFonts w:ascii="Arial" w:hAnsi="Arial" w:cs="Arial"/>
          <w:sz w:val="22"/>
        </w:rPr>
        <w:t xml:space="preserve"> </w:t>
      </w:r>
      <w:r w:rsidRPr="0070310B">
        <w:rPr>
          <w:rFonts w:ascii="Arial" w:hAnsi="Arial" w:cs="Arial"/>
          <w:sz w:val="22"/>
        </w:rPr>
        <w:t>von 9</w:t>
      </w:r>
      <w:r>
        <w:rPr>
          <w:rFonts w:ascii="Arial" w:hAnsi="Arial" w:cs="Arial"/>
          <w:sz w:val="22"/>
        </w:rPr>
        <w:t>.</w:t>
      </w:r>
      <w:r w:rsidRPr="0070310B">
        <w:rPr>
          <w:rFonts w:ascii="Arial" w:hAnsi="Arial" w:cs="Arial"/>
          <w:sz w:val="22"/>
        </w:rPr>
        <w:t xml:space="preserve">954 Personen </w:t>
      </w:r>
      <w:r>
        <w:rPr>
          <w:rFonts w:ascii="Arial" w:hAnsi="Arial" w:cs="Arial"/>
          <w:sz w:val="22"/>
        </w:rPr>
        <w:t>im selben Zeitraum konnte dies nicht ausgleichen.</w:t>
      </w:r>
      <w:r w:rsidR="0098242B">
        <w:rPr>
          <w:rFonts w:ascii="Arial" w:hAnsi="Arial" w:cs="Arial"/>
          <w:sz w:val="22"/>
        </w:rPr>
        <w:t xml:space="preserve"> </w:t>
      </w:r>
      <w:r w:rsidR="0098242B" w:rsidRPr="0098242B">
        <w:rPr>
          <w:rFonts w:ascii="Arial" w:hAnsi="Arial" w:cs="Arial"/>
          <w:sz w:val="22"/>
        </w:rPr>
        <w:t xml:space="preserve">Die Entwicklung in den einzelnen Kreisen und kreisfreien Städten verlief nicht einheitlich. </w:t>
      </w:r>
      <w:r w:rsidR="000617F0" w:rsidRPr="0098242B">
        <w:rPr>
          <w:rStyle w:val="markedcontent"/>
          <w:rFonts w:ascii="Arial" w:hAnsi="Arial" w:cs="Arial"/>
          <w:sz w:val="22"/>
        </w:rPr>
        <w:t xml:space="preserve">Den größten Einwohnergewinn </w:t>
      </w:r>
      <w:r w:rsidR="0098242B" w:rsidRPr="0098242B">
        <w:rPr>
          <w:rStyle w:val="markedcontent"/>
          <w:rFonts w:ascii="Arial" w:hAnsi="Arial" w:cs="Arial"/>
          <w:sz w:val="22"/>
        </w:rPr>
        <w:t xml:space="preserve">im Vergleich mit dem 30. September 2022 </w:t>
      </w:r>
      <w:r w:rsidR="000617F0" w:rsidRPr="0098242B">
        <w:rPr>
          <w:rStyle w:val="markedcontent"/>
          <w:rFonts w:ascii="Arial" w:hAnsi="Arial" w:cs="Arial"/>
          <w:sz w:val="22"/>
        </w:rPr>
        <w:t>hatte</w:t>
      </w:r>
      <w:r w:rsidR="0098242B" w:rsidRPr="0098242B">
        <w:rPr>
          <w:rStyle w:val="markedcontent"/>
          <w:rFonts w:ascii="Arial" w:hAnsi="Arial" w:cs="Arial"/>
          <w:sz w:val="22"/>
        </w:rPr>
        <w:t>n</w:t>
      </w:r>
      <w:r w:rsidR="000617F0" w:rsidRPr="0098242B">
        <w:rPr>
          <w:rStyle w:val="markedcontent"/>
          <w:rFonts w:ascii="Arial" w:hAnsi="Arial" w:cs="Arial"/>
          <w:sz w:val="22"/>
        </w:rPr>
        <w:t xml:space="preserve"> die St</w:t>
      </w:r>
      <w:r w:rsidR="0098242B" w:rsidRPr="0098242B">
        <w:rPr>
          <w:rStyle w:val="markedcontent"/>
          <w:rFonts w:ascii="Arial" w:hAnsi="Arial" w:cs="Arial"/>
          <w:sz w:val="22"/>
        </w:rPr>
        <w:t>ä</w:t>
      </w:r>
      <w:r w:rsidR="000617F0" w:rsidRPr="0098242B">
        <w:rPr>
          <w:rStyle w:val="markedcontent"/>
          <w:rFonts w:ascii="Arial" w:hAnsi="Arial" w:cs="Arial"/>
          <w:sz w:val="22"/>
        </w:rPr>
        <w:t>dt</w:t>
      </w:r>
      <w:r w:rsidR="0098242B" w:rsidRPr="0098242B">
        <w:rPr>
          <w:rStyle w:val="markedcontent"/>
          <w:rFonts w:ascii="Arial" w:hAnsi="Arial" w:cs="Arial"/>
          <w:sz w:val="22"/>
        </w:rPr>
        <w:t>e</w:t>
      </w:r>
      <w:r w:rsidR="000617F0" w:rsidRPr="0098242B">
        <w:rPr>
          <w:rStyle w:val="markedcontent"/>
          <w:rFonts w:ascii="Arial" w:hAnsi="Arial" w:cs="Arial"/>
          <w:sz w:val="22"/>
        </w:rPr>
        <w:t xml:space="preserve"> Gera </w:t>
      </w:r>
      <w:r w:rsidR="0098242B" w:rsidRPr="0098242B">
        <w:rPr>
          <w:rStyle w:val="markedcontent"/>
          <w:rFonts w:ascii="Arial" w:hAnsi="Arial" w:cs="Arial"/>
          <w:sz w:val="22"/>
        </w:rPr>
        <w:t xml:space="preserve">und Suhl </w:t>
      </w:r>
      <w:r w:rsidR="000617F0" w:rsidRPr="0098242B">
        <w:rPr>
          <w:rStyle w:val="markedcontent"/>
          <w:rFonts w:ascii="Arial" w:hAnsi="Arial" w:cs="Arial"/>
          <w:sz w:val="22"/>
        </w:rPr>
        <w:t xml:space="preserve">mit </w:t>
      </w:r>
      <w:r w:rsidR="0098242B" w:rsidRPr="0098242B">
        <w:rPr>
          <w:rStyle w:val="markedcontent"/>
          <w:rFonts w:ascii="Arial" w:hAnsi="Arial" w:cs="Arial"/>
          <w:sz w:val="22"/>
        </w:rPr>
        <w:t xml:space="preserve">jeweils </w:t>
      </w:r>
      <w:r w:rsidR="000617F0" w:rsidRPr="0098242B">
        <w:rPr>
          <w:rStyle w:val="markedcontent"/>
          <w:rFonts w:ascii="Arial" w:hAnsi="Arial" w:cs="Arial"/>
          <w:sz w:val="22"/>
        </w:rPr>
        <w:t>1,5 %</w:t>
      </w:r>
      <w:r w:rsidR="0098242B" w:rsidRPr="0098242B">
        <w:rPr>
          <w:rStyle w:val="markedcontent"/>
          <w:rFonts w:ascii="Arial" w:hAnsi="Arial" w:cs="Arial"/>
          <w:sz w:val="22"/>
        </w:rPr>
        <w:t>. Die höchsten Einwohnerverluste mit jeweils -0,7 % verzeichneten die Kreise Hildburghausen, Greiz und der Saale-Orla-Kreis.</w:t>
      </w:r>
    </w:p>
    <w:p w14:paraId="30AC5866" w14:textId="77777777" w:rsidR="0098242B" w:rsidRDefault="0098242B" w:rsidP="000617F0">
      <w:pPr>
        <w:rPr>
          <w:rStyle w:val="markedcontent"/>
          <w:rFonts w:ascii="Arial" w:hAnsi="Arial" w:cs="Arial"/>
          <w:i/>
          <w:iCs/>
          <w:sz w:val="22"/>
        </w:rPr>
      </w:pPr>
    </w:p>
    <w:p w14:paraId="4D6B6C52" w14:textId="1564D789" w:rsidR="000617F0" w:rsidRPr="0098242B" w:rsidRDefault="0098242B" w:rsidP="000617F0">
      <w:pPr>
        <w:pStyle w:val="Default"/>
        <w:rPr>
          <w:rFonts w:ascii="Arial" w:hAnsi="Arial" w:cs="Arial"/>
          <w:sz w:val="22"/>
          <w:szCs w:val="22"/>
        </w:rPr>
      </w:pPr>
      <w:r w:rsidRPr="0098242B">
        <w:rPr>
          <w:rFonts w:ascii="Arial" w:hAnsi="Arial" w:cs="Arial"/>
          <w:sz w:val="22"/>
          <w:szCs w:val="22"/>
        </w:rPr>
        <w:t xml:space="preserve">Die </w:t>
      </w:r>
      <w:r w:rsidR="000617F0" w:rsidRPr="0098242B">
        <w:rPr>
          <w:rFonts w:ascii="Arial" w:hAnsi="Arial" w:cs="Arial"/>
          <w:sz w:val="22"/>
          <w:szCs w:val="22"/>
        </w:rPr>
        <w:t xml:space="preserve">3. regionalisierte Bevölkerungsvorausberechnung </w:t>
      </w:r>
      <w:r w:rsidR="009C4381">
        <w:rPr>
          <w:rFonts w:ascii="Arial" w:hAnsi="Arial" w:cs="Arial"/>
          <w:sz w:val="22"/>
          <w:szCs w:val="22"/>
        </w:rPr>
        <w:t>(</w:t>
      </w:r>
      <w:proofErr w:type="spellStart"/>
      <w:r w:rsidR="009C4381">
        <w:rPr>
          <w:rFonts w:ascii="Arial" w:hAnsi="Arial" w:cs="Arial"/>
          <w:sz w:val="22"/>
          <w:szCs w:val="22"/>
        </w:rPr>
        <w:t>rBv</w:t>
      </w:r>
      <w:proofErr w:type="spellEnd"/>
      <w:r w:rsidR="009C4381">
        <w:rPr>
          <w:rFonts w:ascii="Arial" w:hAnsi="Arial" w:cs="Arial"/>
          <w:sz w:val="22"/>
          <w:szCs w:val="22"/>
        </w:rPr>
        <w:t xml:space="preserve">) </w:t>
      </w:r>
      <w:r w:rsidRPr="0098242B">
        <w:rPr>
          <w:rFonts w:ascii="Arial" w:hAnsi="Arial" w:cs="Arial"/>
          <w:sz w:val="22"/>
          <w:szCs w:val="22"/>
        </w:rPr>
        <w:t xml:space="preserve">des Thüringer Landesamtes für Statistik gibt einen detaillierten Ausblick auf die Bevölkerungsentwicklung bis zum Jahr 2042. Demnach </w:t>
      </w:r>
      <w:r w:rsidR="000617F0" w:rsidRPr="0098242B">
        <w:rPr>
          <w:rFonts w:ascii="Arial" w:hAnsi="Arial" w:cs="Arial"/>
          <w:sz w:val="22"/>
          <w:szCs w:val="22"/>
        </w:rPr>
        <w:t xml:space="preserve">wird sich die Thüringer Bevölkerung in den nächsten 20 Jahren weiter auf voraussichtlich noch 1.925.700 Einwohnerinnen und Einwohner verringern. Aufgrund der hohen Zahl an Zuzügen aus der Ukraine im Jahr 2022, welche in der Vorausberechnung berücksichtigt wurden, fällt der Bevölkerungsrückgang in der aktuellen 3. </w:t>
      </w:r>
      <w:proofErr w:type="spellStart"/>
      <w:r w:rsidR="000617F0" w:rsidRPr="0098242B">
        <w:rPr>
          <w:rFonts w:ascii="Arial" w:hAnsi="Arial" w:cs="Arial"/>
          <w:sz w:val="22"/>
          <w:szCs w:val="22"/>
        </w:rPr>
        <w:t>rBv</w:t>
      </w:r>
      <w:proofErr w:type="spellEnd"/>
      <w:r w:rsidR="000617F0" w:rsidRPr="0098242B">
        <w:rPr>
          <w:rFonts w:ascii="Arial" w:hAnsi="Arial" w:cs="Arial"/>
          <w:sz w:val="22"/>
          <w:szCs w:val="22"/>
        </w:rPr>
        <w:t xml:space="preserve"> geringer aus als in der vorhergehenden 2. </w:t>
      </w:r>
      <w:proofErr w:type="spellStart"/>
      <w:r w:rsidR="000617F0" w:rsidRPr="0098242B">
        <w:rPr>
          <w:rFonts w:ascii="Arial" w:hAnsi="Arial" w:cs="Arial"/>
          <w:sz w:val="22"/>
          <w:szCs w:val="22"/>
        </w:rPr>
        <w:t>rBv</w:t>
      </w:r>
      <w:proofErr w:type="spellEnd"/>
      <w:r w:rsidR="000617F0" w:rsidRPr="0098242B">
        <w:rPr>
          <w:rFonts w:ascii="Arial" w:hAnsi="Arial" w:cs="Arial"/>
          <w:sz w:val="22"/>
          <w:szCs w:val="22"/>
        </w:rPr>
        <w:t xml:space="preserve">. Die Ergebnisse bestätigen jedoch den langfristigen Trend des Bevölkerungsrückgangs. Hauptursache hierfür ist der anhaltende Sterbefallüberschuss, der sich aus der Altersstruktur der Thüringer Bevölkerung ergibt. Bis zum Jahr 2042 werden im Durchschnitt jährlich rund 16.600 Kinder weniger geboren als Menschen sterben. Der durchschnittliche jährliche Wanderungsgewinn von rund 7.800 Personen im betrachteten Zeitraum wird die Lücke zwischen der Zahl der Geborenen und Gestorbenen nicht schließen können. </w:t>
      </w:r>
    </w:p>
    <w:p w14:paraId="2D2758F6" w14:textId="77777777" w:rsidR="000617F0" w:rsidRDefault="000617F0" w:rsidP="000617F0">
      <w:pPr>
        <w:rPr>
          <w:rFonts w:ascii="Arial" w:eastAsia="Times New Roman" w:hAnsi="Arial" w:cs="Arial"/>
          <w:sz w:val="22"/>
          <w:lang w:eastAsia="de-DE"/>
        </w:rPr>
      </w:pPr>
    </w:p>
    <w:p w14:paraId="258078B7" w14:textId="32362133" w:rsidR="00395FA9" w:rsidRPr="00395FA9" w:rsidRDefault="00395FA9" w:rsidP="00395FA9">
      <w:pPr>
        <w:rPr>
          <w:rFonts w:ascii="Arial" w:hAnsi="Arial" w:cs="Arial"/>
          <w:sz w:val="22"/>
        </w:rPr>
      </w:pPr>
      <w:r>
        <w:rPr>
          <w:rFonts w:ascii="Arial" w:eastAsia="Times New Roman" w:hAnsi="Arial" w:cs="Arial"/>
          <w:sz w:val="22"/>
          <w:lang w:eastAsia="de-DE"/>
        </w:rPr>
        <w:t xml:space="preserve">Gravierend wird sich bis zum Jahr 2042 auch die Altersstruktur der Thüringer Bevölkerung weiter verändern. Sowohl die Anzahl der unter Zwanzigjährigen </w:t>
      </w:r>
      <w:r w:rsidR="00BD75F4">
        <w:rPr>
          <w:rFonts w:ascii="Arial" w:eastAsia="Times New Roman" w:hAnsi="Arial" w:cs="Arial"/>
          <w:sz w:val="22"/>
          <w:lang w:eastAsia="de-DE"/>
        </w:rPr>
        <w:t xml:space="preserve">(- 10 %) </w:t>
      </w:r>
      <w:r>
        <w:rPr>
          <w:rFonts w:ascii="Arial" w:eastAsia="Times New Roman" w:hAnsi="Arial" w:cs="Arial"/>
          <w:sz w:val="22"/>
          <w:lang w:eastAsia="de-DE"/>
        </w:rPr>
        <w:t xml:space="preserve">als auch die Anzahl </w:t>
      </w:r>
      <w:r w:rsidRPr="00395FA9">
        <w:rPr>
          <w:rFonts w:ascii="Arial" w:hAnsi="Arial" w:cs="Arial"/>
          <w:sz w:val="22"/>
        </w:rPr>
        <w:t>der erwerbsfähigen Bevölkerung im Alter von 20 bis 65 Jahren</w:t>
      </w:r>
      <w:r w:rsidR="00BD75F4">
        <w:rPr>
          <w:rFonts w:ascii="Arial" w:hAnsi="Arial" w:cs="Arial"/>
          <w:sz w:val="22"/>
        </w:rPr>
        <w:t xml:space="preserve"> (- 14 %)</w:t>
      </w:r>
      <w:r>
        <w:rPr>
          <w:rFonts w:ascii="Arial" w:hAnsi="Arial" w:cs="Arial"/>
          <w:sz w:val="22"/>
        </w:rPr>
        <w:t xml:space="preserve"> wird sowohl absolut als auch anteilig zurückgehen. Demgegenüber steht eine Zunahme der </w:t>
      </w:r>
      <w:r w:rsidRPr="00395FA9">
        <w:rPr>
          <w:rFonts w:ascii="Arial" w:hAnsi="Arial" w:cs="Arial"/>
          <w:sz w:val="22"/>
        </w:rPr>
        <w:t>Bevölkerungsgruppe der 65-Jährigen und älteren Mitbürger</w:t>
      </w:r>
      <w:r>
        <w:rPr>
          <w:rFonts w:ascii="Arial" w:hAnsi="Arial" w:cs="Arial"/>
          <w:sz w:val="22"/>
        </w:rPr>
        <w:t xml:space="preserve">. </w:t>
      </w:r>
    </w:p>
    <w:p w14:paraId="796801F2" w14:textId="77777777" w:rsidR="00395FA9" w:rsidRPr="00692FA7" w:rsidRDefault="00395FA9" w:rsidP="000617F0">
      <w:pPr>
        <w:rPr>
          <w:rFonts w:ascii="Arial" w:eastAsia="Times New Roman" w:hAnsi="Arial" w:cs="Arial"/>
          <w:sz w:val="22"/>
          <w:lang w:eastAsia="de-DE"/>
        </w:rPr>
      </w:pPr>
    </w:p>
    <w:p w14:paraId="27BACD1A" w14:textId="775D26F5" w:rsidR="002B18AC" w:rsidRDefault="00692FA7" w:rsidP="000617F0">
      <w:pPr>
        <w:rPr>
          <w:rFonts w:ascii="Arial" w:hAnsi="Arial" w:cs="Arial"/>
          <w:sz w:val="22"/>
        </w:rPr>
      </w:pPr>
      <w:r w:rsidRPr="00692FA7">
        <w:rPr>
          <w:rFonts w:ascii="Arial" w:hAnsi="Arial" w:cs="Arial"/>
          <w:sz w:val="22"/>
        </w:rPr>
        <w:t xml:space="preserve">Für die Abschätzung künftiger Wohnraumbedarfe ist die Entwicklung der Zahl und der Struktur der Haushalte noch bedeutsamer als die Bevölkerungsentwicklung. Der Trend zu immer kleineren Haushalten wird aufgrund der veränderten Altersstruktur der Bevölkerung in Zukunft weiter anhalten. Die durchschnittliche Haushaltsgröße verringert sich von 1,92 Personen im Jahr 2022 auf 1,89 Personen im Jahr 2042. Gleichzeitig geht die Zahl der Haushalte in allen Haushaltsgrößengruppen um insgesamt 7,3 % oder 79.000 Haushalte auf 1,01 Millionen Haushalte zurück. Laut Thüringer Landesamt für Statistik werden die einzelnen Thüringer Kreise sehr unterschiedlich in Abhängigkeit von der Bevölkerungsentwicklung vom Rückgang der Haushaltszahlen betroffen sein. So werden die Städte Erfurt, Jena und Weimar, die wahrscheinlich bis 2042 Bevölkerungszuwächse verzeichnen werden, nicht mit einem Rückgang der Haushaltszahlen zu rechnen haben. Anders sieht es im ländlichen Raum aus. Dort werden die Haushaltszahlen teils gravierend zurückgehen. </w:t>
      </w:r>
    </w:p>
    <w:p w14:paraId="4BAC7612" w14:textId="77777777" w:rsidR="002B18AC" w:rsidRDefault="002B18AC">
      <w:pPr>
        <w:spacing w:after="160" w:line="278" w:lineRule="auto"/>
        <w:rPr>
          <w:rFonts w:ascii="Arial" w:hAnsi="Arial" w:cs="Arial"/>
          <w:sz w:val="22"/>
        </w:rPr>
      </w:pPr>
      <w:r>
        <w:rPr>
          <w:rFonts w:ascii="Arial" w:hAnsi="Arial" w:cs="Arial"/>
          <w:sz w:val="22"/>
        </w:rPr>
        <w:br w:type="page"/>
      </w:r>
    </w:p>
    <w:p w14:paraId="49EA8D63" w14:textId="445B37FC"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lastRenderedPageBreak/>
        <w:t>Gebäude und Wohnungen</w:t>
      </w:r>
    </w:p>
    <w:p w14:paraId="463ED985" w14:textId="77777777" w:rsidR="000617F0" w:rsidRPr="004F4E8D" w:rsidRDefault="000617F0" w:rsidP="000617F0">
      <w:pPr>
        <w:autoSpaceDE w:val="0"/>
        <w:autoSpaceDN w:val="0"/>
        <w:adjustRightInd w:val="0"/>
        <w:rPr>
          <w:rFonts w:ascii="Arial" w:hAnsi="Arial" w:cs="Arial"/>
          <w:sz w:val="22"/>
        </w:rPr>
      </w:pPr>
    </w:p>
    <w:p w14:paraId="742B92E3" w14:textId="64DD5655" w:rsidR="000617F0" w:rsidRPr="004F4E8D" w:rsidRDefault="000617F0" w:rsidP="004F4E8D">
      <w:pPr>
        <w:autoSpaceDE w:val="0"/>
        <w:autoSpaceDN w:val="0"/>
        <w:adjustRightInd w:val="0"/>
        <w:rPr>
          <w:rFonts w:ascii="Arial" w:hAnsi="Arial" w:cs="Arial"/>
          <w:sz w:val="22"/>
        </w:rPr>
      </w:pPr>
      <w:r w:rsidRPr="004F4E8D">
        <w:rPr>
          <w:rFonts w:ascii="Arial" w:hAnsi="Arial" w:cs="Arial"/>
          <w:sz w:val="22"/>
        </w:rPr>
        <w:t>Die Wohnungsfortschreibung in Thüringen ergab für Ende 202</w:t>
      </w:r>
      <w:r w:rsidR="004F4E8D" w:rsidRPr="004F4E8D">
        <w:rPr>
          <w:rFonts w:ascii="Arial" w:hAnsi="Arial" w:cs="Arial"/>
          <w:sz w:val="22"/>
        </w:rPr>
        <w:t>2</w:t>
      </w:r>
      <w:r w:rsidRPr="004F4E8D">
        <w:rPr>
          <w:rFonts w:ascii="Arial" w:hAnsi="Arial" w:cs="Arial"/>
          <w:sz w:val="22"/>
        </w:rPr>
        <w:t xml:space="preserve"> einen Wohnungsbestand von 1.</w:t>
      </w:r>
      <w:r w:rsidR="004F4E8D" w:rsidRPr="004F4E8D">
        <w:rPr>
          <w:rFonts w:ascii="Arial" w:hAnsi="Arial" w:cs="Arial"/>
          <w:sz w:val="22"/>
        </w:rPr>
        <w:t>200.595</w:t>
      </w:r>
      <w:r w:rsidRPr="004F4E8D">
        <w:rPr>
          <w:rFonts w:ascii="Arial" w:hAnsi="Arial" w:cs="Arial"/>
          <w:sz w:val="22"/>
        </w:rPr>
        <w:t xml:space="preserve"> Wohnungen (einschließlich Wohnheime). </w:t>
      </w:r>
      <w:r w:rsidR="004F4E8D" w:rsidRPr="004F4E8D">
        <w:rPr>
          <w:rFonts w:ascii="Arial" w:hAnsi="Arial" w:cs="Arial"/>
          <w:sz w:val="22"/>
        </w:rPr>
        <w:t xml:space="preserve">Die Bestandsrechnung verzeichnete gegenüber Ende 2021 einen Zugang von 0,3 % bzw. 3.622 Wohnungen. </w:t>
      </w:r>
      <w:r w:rsidRPr="004F4E8D">
        <w:rPr>
          <w:rFonts w:ascii="Arial" w:hAnsi="Arial" w:cs="Arial"/>
          <w:sz w:val="22"/>
        </w:rPr>
        <w:t>Die durchschnittliche Wohnung in Thüringen hatte nach Mitteilung des Thüringer Landesamtes für Statistik eine reine Wohnfläche von 82,</w:t>
      </w:r>
      <w:r w:rsidR="004F4E8D" w:rsidRPr="004F4E8D">
        <w:rPr>
          <w:rFonts w:ascii="Arial" w:hAnsi="Arial" w:cs="Arial"/>
          <w:sz w:val="22"/>
        </w:rPr>
        <w:t>7</w:t>
      </w:r>
      <w:r w:rsidRPr="004F4E8D">
        <w:rPr>
          <w:rFonts w:ascii="Arial" w:hAnsi="Arial" w:cs="Arial"/>
          <w:sz w:val="22"/>
        </w:rPr>
        <w:t xml:space="preserve"> m². Rein rechnerisch kamen 1,8 Personen auf eine Wohnung (sog. durchschnittliche Belegungsdichte). Jedem Einwohner standen rechnerisch 2,</w:t>
      </w:r>
      <w:r w:rsidR="004F4E8D" w:rsidRPr="004F4E8D">
        <w:rPr>
          <w:rFonts w:ascii="Arial" w:hAnsi="Arial" w:cs="Arial"/>
          <w:sz w:val="22"/>
        </w:rPr>
        <w:t>4</w:t>
      </w:r>
      <w:r w:rsidRPr="004F4E8D">
        <w:rPr>
          <w:rFonts w:ascii="Arial" w:hAnsi="Arial" w:cs="Arial"/>
          <w:sz w:val="22"/>
        </w:rPr>
        <w:t xml:space="preserve"> Räume oder 46,</w:t>
      </w:r>
      <w:r w:rsidR="004F4E8D" w:rsidRPr="004F4E8D">
        <w:rPr>
          <w:rFonts w:ascii="Arial" w:hAnsi="Arial" w:cs="Arial"/>
          <w:sz w:val="22"/>
        </w:rPr>
        <w:t>7</w:t>
      </w:r>
      <w:r w:rsidRPr="004F4E8D">
        <w:rPr>
          <w:rFonts w:ascii="Arial" w:hAnsi="Arial" w:cs="Arial"/>
          <w:sz w:val="22"/>
        </w:rPr>
        <w:t xml:space="preserve"> m² Wohnfläche zur Verfügung. </w:t>
      </w:r>
    </w:p>
    <w:p w14:paraId="46AF0AEC" w14:textId="77777777" w:rsidR="000617F0" w:rsidRPr="004F4E8D" w:rsidRDefault="000617F0" w:rsidP="000617F0">
      <w:pPr>
        <w:autoSpaceDE w:val="0"/>
        <w:autoSpaceDN w:val="0"/>
        <w:adjustRightInd w:val="0"/>
        <w:rPr>
          <w:rFonts w:ascii="Arial" w:hAnsi="Arial" w:cs="Arial"/>
          <w:sz w:val="22"/>
        </w:rPr>
      </w:pPr>
    </w:p>
    <w:p w14:paraId="4442CE56" w14:textId="2306A89B" w:rsidR="000617F0" w:rsidRPr="004F4E8D" w:rsidRDefault="000617F0" w:rsidP="000617F0">
      <w:pPr>
        <w:autoSpaceDE w:val="0"/>
        <w:autoSpaceDN w:val="0"/>
        <w:adjustRightInd w:val="0"/>
        <w:rPr>
          <w:rFonts w:ascii="Arial" w:eastAsia="Times New Roman" w:hAnsi="Arial" w:cs="Arial"/>
          <w:sz w:val="22"/>
          <w:lang w:eastAsia="de-DE"/>
        </w:rPr>
      </w:pPr>
      <w:r w:rsidRPr="004F4E8D">
        <w:rPr>
          <w:rFonts w:ascii="Arial" w:hAnsi="Arial" w:cs="Arial"/>
          <w:sz w:val="22"/>
        </w:rPr>
        <w:t>Der Bestand an Wohngebäuden hat sich 202</w:t>
      </w:r>
      <w:r w:rsidR="004F4E8D" w:rsidRPr="004F4E8D">
        <w:rPr>
          <w:rFonts w:ascii="Arial" w:hAnsi="Arial" w:cs="Arial"/>
          <w:sz w:val="22"/>
        </w:rPr>
        <w:t>2</w:t>
      </w:r>
      <w:r w:rsidRPr="004F4E8D">
        <w:rPr>
          <w:rFonts w:ascii="Arial" w:hAnsi="Arial" w:cs="Arial"/>
          <w:sz w:val="22"/>
        </w:rPr>
        <w:t xml:space="preserve"> gegenüber dem Vorjahr auf 53</w:t>
      </w:r>
      <w:r w:rsidR="004F4E8D" w:rsidRPr="004F4E8D">
        <w:rPr>
          <w:rFonts w:ascii="Arial" w:hAnsi="Arial" w:cs="Arial"/>
          <w:sz w:val="22"/>
        </w:rPr>
        <w:t>8.000</w:t>
      </w:r>
      <w:r w:rsidRPr="004F4E8D">
        <w:rPr>
          <w:rFonts w:ascii="Arial" w:hAnsi="Arial" w:cs="Arial"/>
          <w:sz w:val="22"/>
        </w:rPr>
        <w:t xml:space="preserve"> erhöht. </w:t>
      </w:r>
      <w:r w:rsidRPr="004F4E8D">
        <w:rPr>
          <w:rFonts w:ascii="Arial" w:eastAsia="Times New Roman" w:hAnsi="Arial" w:cs="Arial"/>
          <w:sz w:val="22"/>
          <w:lang w:eastAsia="de-DE"/>
        </w:rPr>
        <w:t>66,</w:t>
      </w:r>
      <w:r w:rsidR="004F4E8D" w:rsidRPr="004F4E8D">
        <w:rPr>
          <w:rFonts w:ascii="Arial" w:eastAsia="Times New Roman" w:hAnsi="Arial" w:cs="Arial"/>
          <w:sz w:val="22"/>
          <w:lang w:eastAsia="de-DE"/>
        </w:rPr>
        <w:t>4</w:t>
      </w:r>
      <w:r w:rsidRPr="004F4E8D">
        <w:rPr>
          <w:rFonts w:ascii="Arial" w:eastAsia="Times New Roman" w:hAnsi="Arial" w:cs="Arial"/>
          <w:sz w:val="22"/>
          <w:lang w:eastAsia="de-DE"/>
        </w:rPr>
        <w:t xml:space="preserve"> % der Wohngebäude waren Einfamilienhäuser, deren Bestand sich gegenüber dem Vorjahr um 1.</w:t>
      </w:r>
      <w:r w:rsidR="004F4E8D" w:rsidRPr="004F4E8D">
        <w:rPr>
          <w:rFonts w:ascii="Arial" w:eastAsia="Times New Roman" w:hAnsi="Arial" w:cs="Arial"/>
          <w:sz w:val="22"/>
          <w:lang w:eastAsia="de-DE"/>
        </w:rPr>
        <w:t>523</w:t>
      </w:r>
      <w:r w:rsidRPr="004F4E8D">
        <w:rPr>
          <w:rFonts w:ascii="Arial" w:eastAsia="Times New Roman" w:hAnsi="Arial" w:cs="Arial"/>
          <w:sz w:val="22"/>
          <w:lang w:eastAsia="de-DE"/>
        </w:rPr>
        <w:t xml:space="preserve"> Gebäude erhöhte. 17,5 % waren Zweifamilienhäuser (+ 1</w:t>
      </w:r>
      <w:r w:rsidR="004F4E8D" w:rsidRPr="004F4E8D">
        <w:rPr>
          <w:rFonts w:ascii="Arial" w:eastAsia="Times New Roman" w:hAnsi="Arial" w:cs="Arial"/>
          <w:sz w:val="22"/>
          <w:lang w:eastAsia="de-DE"/>
        </w:rPr>
        <w:t>44</w:t>
      </w:r>
      <w:r w:rsidRPr="004F4E8D">
        <w:rPr>
          <w:rFonts w:ascii="Arial" w:eastAsia="Times New Roman" w:hAnsi="Arial" w:cs="Arial"/>
          <w:sz w:val="22"/>
          <w:lang w:eastAsia="de-DE"/>
        </w:rPr>
        <w:t xml:space="preserve"> Gebäude). Auf den Geschosswohnungsbau (</w:t>
      </w:r>
      <w:r w:rsidR="004F4E8D" w:rsidRPr="004F4E8D">
        <w:rPr>
          <w:rFonts w:ascii="Arial" w:eastAsia="Times New Roman" w:hAnsi="Arial" w:cs="Arial"/>
          <w:sz w:val="22"/>
          <w:lang w:eastAsia="de-DE"/>
        </w:rPr>
        <w:t>ohne</w:t>
      </w:r>
      <w:r w:rsidRPr="004F4E8D">
        <w:rPr>
          <w:rFonts w:ascii="Arial" w:eastAsia="Times New Roman" w:hAnsi="Arial" w:cs="Arial"/>
          <w:sz w:val="22"/>
          <w:lang w:eastAsia="de-DE"/>
        </w:rPr>
        <w:t xml:space="preserve"> Wohnheime) entfielen 16,1 % (+ 1</w:t>
      </w:r>
      <w:r w:rsidR="004F4E8D" w:rsidRPr="004F4E8D">
        <w:rPr>
          <w:rFonts w:ascii="Arial" w:eastAsia="Times New Roman" w:hAnsi="Arial" w:cs="Arial"/>
          <w:sz w:val="22"/>
          <w:lang w:eastAsia="de-DE"/>
        </w:rPr>
        <w:t>81</w:t>
      </w:r>
      <w:r w:rsidRPr="004F4E8D">
        <w:rPr>
          <w:rFonts w:ascii="Arial" w:eastAsia="Times New Roman" w:hAnsi="Arial" w:cs="Arial"/>
          <w:sz w:val="22"/>
          <w:lang w:eastAsia="de-DE"/>
        </w:rPr>
        <w:t xml:space="preserve"> Gebäude mit 1.</w:t>
      </w:r>
      <w:r w:rsidR="004F4E8D" w:rsidRPr="004F4E8D">
        <w:rPr>
          <w:rFonts w:ascii="Arial" w:eastAsia="Times New Roman" w:hAnsi="Arial" w:cs="Arial"/>
          <w:sz w:val="22"/>
          <w:lang w:eastAsia="de-DE"/>
        </w:rPr>
        <w:t>383</w:t>
      </w:r>
      <w:r w:rsidRPr="004F4E8D">
        <w:rPr>
          <w:rFonts w:ascii="Arial" w:eastAsia="Times New Roman" w:hAnsi="Arial" w:cs="Arial"/>
          <w:sz w:val="22"/>
          <w:lang w:eastAsia="de-DE"/>
        </w:rPr>
        <w:t xml:space="preserve"> Wohnungen).</w:t>
      </w:r>
    </w:p>
    <w:p w14:paraId="30D8A5CD" w14:textId="77777777" w:rsidR="006E1996" w:rsidRPr="004F4E8D" w:rsidRDefault="006E1996" w:rsidP="000617F0">
      <w:pPr>
        <w:rPr>
          <w:rStyle w:val="markedcontent"/>
          <w:rFonts w:ascii="Arial" w:hAnsi="Arial" w:cs="Arial"/>
          <w:sz w:val="22"/>
        </w:rPr>
      </w:pPr>
    </w:p>
    <w:p w14:paraId="5F5DDCB1" w14:textId="118B6B88" w:rsidR="000617F0" w:rsidRPr="004F4E8D" w:rsidRDefault="000617F0" w:rsidP="000617F0">
      <w:pPr>
        <w:rPr>
          <w:rFonts w:ascii="Arial" w:eastAsia="Times New Roman" w:hAnsi="Arial" w:cs="Arial"/>
          <w:sz w:val="22"/>
          <w:lang w:eastAsia="de-DE"/>
        </w:rPr>
      </w:pPr>
      <w:r w:rsidRPr="004F4E8D">
        <w:rPr>
          <w:rStyle w:val="markedcontent"/>
          <w:rFonts w:ascii="Arial" w:hAnsi="Arial" w:cs="Arial"/>
          <w:sz w:val="22"/>
        </w:rPr>
        <w:t>Ein Zugang an Wohnungen war in allen Wohnraumgrößen (einschließlich Küche) festzustellen. Den zahlenmäßig größten Zugang mit über</w:t>
      </w:r>
      <w:r w:rsidR="004F4E8D" w:rsidRPr="004F4E8D">
        <w:rPr>
          <w:rStyle w:val="markedcontent"/>
          <w:rFonts w:ascii="Arial" w:hAnsi="Arial" w:cs="Arial"/>
          <w:sz w:val="22"/>
        </w:rPr>
        <w:t xml:space="preserve"> 612</w:t>
      </w:r>
      <w:r w:rsidRPr="004F4E8D">
        <w:rPr>
          <w:rStyle w:val="markedcontent"/>
          <w:rFonts w:ascii="Arial" w:hAnsi="Arial" w:cs="Arial"/>
          <w:sz w:val="22"/>
        </w:rPr>
        <w:t xml:space="preserve"> Wohnungen verzeichneten Wohnungen mit 3 Räumen. In Zweiraumwohnungen sowie in Wohnungen mit 7 oder mehr Räumen war eine Zunahme von über 600 Wohnungen zu bemerken. Die Struktur des Wohnungsbestandes blieb seit der Gebäude- und Wohnungszählung 2011 gleich. Der Anteil von kleinen Wohneinheiten (mit 1 bis 2 Räumen) am Gesamtwohnungsbestand lag bei rund 11 %. Auch die größeren Wohnungen mit 5 oder mehr Räumen machten seitdem kontinuierlich rund </w:t>
      </w:r>
      <w:r w:rsidRPr="004F4E8D">
        <w:rPr>
          <w:rStyle w:val="markedcontent"/>
          <w:rFonts w:ascii="Arial" w:hAnsi="Arial" w:cs="Arial"/>
          <w:sz w:val="22"/>
        </w:rPr>
        <w:br/>
        <w:t>40 % des Gesamtbestandes aus.</w:t>
      </w:r>
    </w:p>
    <w:p w14:paraId="2EE8550F" w14:textId="77777777" w:rsidR="000617F0" w:rsidRPr="004F4E8D" w:rsidRDefault="000617F0" w:rsidP="000617F0">
      <w:pPr>
        <w:rPr>
          <w:rFonts w:ascii="Arial" w:eastAsia="Times New Roman" w:hAnsi="Arial" w:cs="Arial"/>
          <w:sz w:val="22"/>
          <w:lang w:eastAsia="de-DE"/>
        </w:rPr>
      </w:pPr>
    </w:p>
    <w:p w14:paraId="2213E35D" w14:textId="1B0B92D5" w:rsidR="000617F0" w:rsidRPr="004F4E8D" w:rsidRDefault="000617F0" w:rsidP="000617F0">
      <w:pPr>
        <w:rPr>
          <w:rFonts w:ascii="Arial" w:hAnsi="Arial" w:cs="Arial"/>
          <w:sz w:val="22"/>
        </w:rPr>
      </w:pPr>
      <w:r w:rsidRPr="004F4E8D">
        <w:rPr>
          <w:rFonts w:ascii="Arial" w:hAnsi="Arial" w:cs="Arial"/>
          <w:sz w:val="22"/>
        </w:rPr>
        <w:t>Unter Berücksichtigung des Bevölkerungsstandes zum 31.12.202</w:t>
      </w:r>
      <w:r w:rsidR="004F4E8D" w:rsidRPr="004F4E8D">
        <w:rPr>
          <w:rFonts w:ascii="Arial" w:hAnsi="Arial" w:cs="Arial"/>
          <w:sz w:val="22"/>
        </w:rPr>
        <w:t>2</w:t>
      </w:r>
      <w:r w:rsidRPr="004F4E8D">
        <w:rPr>
          <w:rFonts w:ascii="Arial" w:hAnsi="Arial" w:cs="Arial"/>
          <w:sz w:val="22"/>
        </w:rPr>
        <w:t xml:space="preserve"> entfielen in Thüringen auf 1.000 Einwohner 56</w:t>
      </w:r>
      <w:r w:rsidR="004F4E8D" w:rsidRPr="004F4E8D">
        <w:rPr>
          <w:rFonts w:ascii="Arial" w:hAnsi="Arial" w:cs="Arial"/>
          <w:sz w:val="22"/>
        </w:rPr>
        <w:t>4</w:t>
      </w:r>
      <w:r w:rsidRPr="004F4E8D">
        <w:rPr>
          <w:rFonts w:ascii="Arial" w:hAnsi="Arial" w:cs="Arial"/>
          <w:sz w:val="22"/>
        </w:rPr>
        <w:t xml:space="preserve"> Wohnungen, wobei es in den kreisfreien Städten 58</w:t>
      </w:r>
      <w:r w:rsidR="004F4E8D" w:rsidRPr="004F4E8D">
        <w:rPr>
          <w:rFonts w:ascii="Arial" w:hAnsi="Arial" w:cs="Arial"/>
          <w:sz w:val="22"/>
        </w:rPr>
        <w:t>2</w:t>
      </w:r>
      <w:r w:rsidRPr="004F4E8D">
        <w:rPr>
          <w:rFonts w:ascii="Arial" w:hAnsi="Arial" w:cs="Arial"/>
          <w:sz w:val="22"/>
        </w:rPr>
        <w:t xml:space="preserve"> und in den Landkreisen 5</w:t>
      </w:r>
      <w:r w:rsidR="004F4E8D" w:rsidRPr="004F4E8D">
        <w:rPr>
          <w:rFonts w:ascii="Arial" w:hAnsi="Arial" w:cs="Arial"/>
          <w:sz w:val="22"/>
        </w:rPr>
        <w:t>59 Wohnungen</w:t>
      </w:r>
      <w:r w:rsidRPr="004F4E8D">
        <w:rPr>
          <w:rFonts w:ascii="Arial" w:hAnsi="Arial" w:cs="Arial"/>
          <w:sz w:val="22"/>
        </w:rPr>
        <w:t xml:space="preserve"> pro 1.000 Einwohner gab.</w:t>
      </w:r>
    </w:p>
    <w:p w14:paraId="443E848A" w14:textId="77777777" w:rsidR="003C41A9" w:rsidRPr="004F4E8D" w:rsidRDefault="003C41A9" w:rsidP="000617F0">
      <w:pPr>
        <w:rPr>
          <w:rFonts w:ascii="Arial" w:eastAsia="Times New Roman" w:hAnsi="Arial" w:cs="Arial"/>
          <w:color w:val="000000"/>
          <w:sz w:val="22"/>
          <w:lang w:eastAsia="de-DE"/>
        </w:rPr>
      </w:pPr>
    </w:p>
    <w:p w14:paraId="3658206F" w14:textId="77777777" w:rsidR="000617F0" w:rsidRPr="00CE18F9" w:rsidRDefault="000617F0" w:rsidP="000617F0">
      <w:pPr>
        <w:rPr>
          <w:rFonts w:ascii="Arial" w:eastAsia="Times New Roman" w:hAnsi="Arial" w:cs="Arial"/>
          <w:b/>
          <w:sz w:val="22"/>
          <w:lang w:eastAsia="de-DE"/>
        </w:rPr>
      </w:pPr>
      <w:r w:rsidRPr="00CE18F9">
        <w:rPr>
          <w:rFonts w:ascii="Arial" w:eastAsia="Times New Roman" w:hAnsi="Arial" w:cs="Arial"/>
          <w:b/>
          <w:sz w:val="22"/>
          <w:lang w:eastAsia="de-DE"/>
        </w:rPr>
        <w:t>II.</w:t>
      </w:r>
      <w:r w:rsidRPr="00CE18F9">
        <w:rPr>
          <w:rFonts w:ascii="Arial" w:eastAsia="Times New Roman" w:hAnsi="Arial" w:cs="Arial"/>
          <w:b/>
          <w:sz w:val="22"/>
          <w:lang w:eastAsia="de-DE"/>
        </w:rPr>
        <w:tab/>
        <w:t>Branchenentwicklung</w:t>
      </w:r>
    </w:p>
    <w:p w14:paraId="6DE11112" w14:textId="77777777" w:rsidR="000617F0" w:rsidRPr="00CE18F9" w:rsidRDefault="000617F0" w:rsidP="000617F0">
      <w:pPr>
        <w:rPr>
          <w:rFonts w:ascii="Arial" w:eastAsia="Times New Roman" w:hAnsi="Arial" w:cs="Arial"/>
          <w:sz w:val="22"/>
          <w:lang w:eastAsia="de-DE"/>
        </w:rPr>
      </w:pPr>
    </w:p>
    <w:p w14:paraId="6E58DC11"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t>Allgemeine Branchenentwicklung</w:t>
      </w:r>
    </w:p>
    <w:p w14:paraId="61FF742E" w14:textId="77777777" w:rsidR="000617F0" w:rsidRPr="00CE18F9" w:rsidRDefault="000617F0" w:rsidP="000617F0">
      <w:pPr>
        <w:rPr>
          <w:rFonts w:ascii="Arial" w:eastAsia="Times New Roman" w:hAnsi="Arial" w:cs="Arial"/>
          <w:sz w:val="22"/>
          <w:lang w:eastAsia="de-DE"/>
        </w:rPr>
      </w:pPr>
    </w:p>
    <w:p w14:paraId="2018FA3B" w14:textId="0BB4154E" w:rsidR="000617F0" w:rsidRPr="00CE18F9" w:rsidRDefault="00536A0F" w:rsidP="000617F0">
      <w:pPr>
        <w:rPr>
          <w:rFonts w:ascii="Arial" w:hAnsi="Arial" w:cs="Arial"/>
          <w:sz w:val="22"/>
        </w:rPr>
      </w:pPr>
      <w:r>
        <w:rPr>
          <w:rFonts w:ascii="Arial" w:hAnsi="Arial" w:cs="Arial"/>
          <w:sz w:val="22"/>
        </w:rPr>
        <w:t>Mit Stand 31.03.2024</w:t>
      </w:r>
      <w:r w:rsidR="0055561C">
        <w:rPr>
          <w:rFonts w:ascii="Arial" w:hAnsi="Arial" w:cs="Arial"/>
          <w:sz w:val="22"/>
        </w:rPr>
        <w:t xml:space="preserve"> hat </w:t>
      </w:r>
      <w:r w:rsidR="000617F0" w:rsidRPr="00CE18F9">
        <w:rPr>
          <w:rFonts w:ascii="Arial" w:hAnsi="Arial" w:cs="Arial"/>
          <w:sz w:val="22"/>
        </w:rPr>
        <w:t>der vtw 22</w:t>
      </w:r>
      <w:r>
        <w:rPr>
          <w:rFonts w:ascii="Arial" w:hAnsi="Arial" w:cs="Arial"/>
          <w:sz w:val="22"/>
        </w:rPr>
        <w:t>8</w:t>
      </w:r>
      <w:r w:rsidR="000617F0" w:rsidRPr="00CE18F9">
        <w:rPr>
          <w:rFonts w:ascii="Arial" w:hAnsi="Arial" w:cs="Arial"/>
          <w:sz w:val="22"/>
        </w:rPr>
        <w:t xml:space="preserve"> Mitglieder, darunter 106 Bau- und Wohnungsgenossenschaften sowie 69 kommunale Wohnungsgesellschaften und Kommunen. Insgesamt haben die Wohnungsunternehmen im vtw Ende 202</w:t>
      </w:r>
      <w:r w:rsidR="00CE18F9" w:rsidRPr="00CE18F9">
        <w:rPr>
          <w:rFonts w:ascii="Arial" w:hAnsi="Arial" w:cs="Arial"/>
          <w:sz w:val="22"/>
        </w:rPr>
        <w:t>3</w:t>
      </w:r>
      <w:r w:rsidR="000617F0" w:rsidRPr="00CE18F9">
        <w:rPr>
          <w:rFonts w:ascii="Arial" w:hAnsi="Arial" w:cs="Arial"/>
          <w:sz w:val="22"/>
        </w:rPr>
        <w:t xml:space="preserve"> rund 26</w:t>
      </w:r>
      <w:r w:rsidR="00CE18F9" w:rsidRPr="00CE18F9">
        <w:rPr>
          <w:rFonts w:ascii="Arial" w:hAnsi="Arial" w:cs="Arial"/>
          <w:sz w:val="22"/>
        </w:rPr>
        <w:t>4.0</w:t>
      </w:r>
      <w:r w:rsidR="000617F0" w:rsidRPr="00CE18F9">
        <w:rPr>
          <w:rFonts w:ascii="Arial" w:hAnsi="Arial" w:cs="Arial"/>
          <w:sz w:val="22"/>
        </w:rPr>
        <w:t>00 Wohnungen, darunter 24</w:t>
      </w:r>
      <w:r w:rsidR="00CE18F9" w:rsidRPr="00CE18F9">
        <w:rPr>
          <w:rFonts w:ascii="Arial" w:hAnsi="Arial" w:cs="Arial"/>
          <w:sz w:val="22"/>
        </w:rPr>
        <w:t>9.000</w:t>
      </w:r>
      <w:r w:rsidR="000617F0" w:rsidRPr="00CE18F9">
        <w:rPr>
          <w:rFonts w:ascii="Arial" w:hAnsi="Arial" w:cs="Arial"/>
          <w:sz w:val="22"/>
        </w:rPr>
        <w:t xml:space="preserve"> Wohnungen in ihrem Eigentum, bewirtschaftet.</w:t>
      </w:r>
    </w:p>
    <w:p w14:paraId="79446406" w14:textId="77777777" w:rsidR="000617F0" w:rsidRPr="00B133D7" w:rsidRDefault="000617F0" w:rsidP="00B133D7">
      <w:pPr>
        <w:rPr>
          <w:rFonts w:ascii="Arial" w:eastAsia="Times New Roman" w:hAnsi="Arial" w:cs="Arial"/>
          <w:sz w:val="22"/>
          <w:lang w:eastAsia="de-DE"/>
        </w:rPr>
      </w:pPr>
    </w:p>
    <w:p w14:paraId="4FBE3C08" w14:textId="77FD7D52" w:rsidR="000617F0" w:rsidRPr="00B133D7" w:rsidRDefault="000617F0" w:rsidP="00B133D7">
      <w:pPr>
        <w:rPr>
          <w:rFonts w:ascii="Arial" w:hAnsi="Arial" w:cs="Arial"/>
          <w:sz w:val="22"/>
        </w:rPr>
      </w:pPr>
      <w:r w:rsidRPr="00B133D7">
        <w:rPr>
          <w:rFonts w:ascii="Arial" w:hAnsi="Arial" w:cs="Arial"/>
          <w:sz w:val="22"/>
        </w:rPr>
        <w:t xml:space="preserve">Die Thüringer Wohnungsunternehmen haben seit 1991 </w:t>
      </w:r>
      <w:r w:rsidR="0055561C" w:rsidRPr="00B133D7">
        <w:rPr>
          <w:rFonts w:ascii="Arial" w:hAnsi="Arial" w:cs="Arial"/>
          <w:sz w:val="22"/>
        </w:rPr>
        <w:t>annähernd 15,2</w:t>
      </w:r>
      <w:r w:rsidRPr="00B133D7">
        <w:rPr>
          <w:rFonts w:ascii="Arial" w:hAnsi="Arial" w:cs="Arial"/>
          <w:sz w:val="22"/>
        </w:rPr>
        <w:t xml:space="preserve"> Mrd. Euro investiert. Rund 90 % der aufgewendeten Mittel flossen in den Wohnungsbestand</w:t>
      </w:r>
      <w:r w:rsidR="00B133D7" w:rsidRPr="00B133D7">
        <w:rPr>
          <w:rFonts w:ascii="Arial" w:hAnsi="Arial" w:cs="Arial"/>
          <w:sz w:val="22"/>
        </w:rPr>
        <w:t>, a</w:t>
      </w:r>
      <w:r w:rsidRPr="00B133D7">
        <w:rPr>
          <w:rFonts w:ascii="Arial" w:hAnsi="Arial" w:cs="Arial"/>
          <w:sz w:val="22"/>
        </w:rPr>
        <w:t xml:space="preserve">nnähernd die Hälfte </w:t>
      </w:r>
      <w:r w:rsidR="00B133D7" w:rsidRPr="00B133D7">
        <w:rPr>
          <w:rFonts w:ascii="Arial" w:hAnsi="Arial" w:cs="Arial"/>
          <w:sz w:val="22"/>
        </w:rPr>
        <w:t>davon in</w:t>
      </w:r>
      <w:r w:rsidRPr="00B133D7">
        <w:rPr>
          <w:rFonts w:ascii="Arial" w:hAnsi="Arial" w:cs="Arial"/>
          <w:sz w:val="22"/>
        </w:rPr>
        <w:t xml:space="preserve"> Modernisierungsmaßnahmen. </w:t>
      </w:r>
      <w:r w:rsidR="00B133D7" w:rsidRPr="00B133D7">
        <w:rPr>
          <w:rFonts w:ascii="Arial" w:hAnsi="Arial" w:cs="Arial"/>
          <w:sz w:val="22"/>
        </w:rPr>
        <w:t>Der größte Anteil davon entfällt auf die 90er Jahre und die Beseitigung des Sanierungsstaus. Seit dem Jahr 2005 halten sich die jährlichen Aufwendungen für Modernisierung und Instandhaltung/-setzung die Waage. Seit 2010 wird anteilig deutlich mehr für Instandhaltung/-setzung als für Modernisierung, bei steigender Tendenz in beiden Bereichen, aufgewendet.</w:t>
      </w:r>
      <w:r w:rsidR="00B133D7">
        <w:rPr>
          <w:rFonts w:ascii="Arial" w:hAnsi="Arial" w:cs="Arial"/>
          <w:sz w:val="22"/>
        </w:rPr>
        <w:t xml:space="preserve"> </w:t>
      </w:r>
      <w:r w:rsidRPr="00B133D7">
        <w:rPr>
          <w:rFonts w:ascii="Arial" w:hAnsi="Arial" w:cs="Arial"/>
          <w:sz w:val="22"/>
        </w:rPr>
        <w:t xml:space="preserve">Aber auch der </w:t>
      </w:r>
      <w:r w:rsidR="00B133D7" w:rsidRPr="00B133D7">
        <w:rPr>
          <w:rFonts w:ascii="Arial" w:hAnsi="Arial" w:cs="Arial"/>
          <w:sz w:val="22"/>
        </w:rPr>
        <w:t xml:space="preserve">Neubau war und ist wichtig. Mit </w:t>
      </w:r>
      <w:r w:rsidR="000B3559">
        <w:rPr>
          <w:rFonts w:ascii="Arial" w:hAnsi="Arial" w:cs="Arial"/>
          <w:sz w:val="22"/>
        </w:rPr>
        <w:t xml:space="preserve">annähernd </w:t>
      </w:r>
      <w:r w:rsidR="00B133D7" w:rsidRPr="00B133D7">
        <w:rPr>
          <w:rFonts w:ascii="Arial" w:hAnsi="Arial" w:cs="Arial"/>
          <w:sz w:val="22"/>
        </w:rPr>
        <w:t xml:space="preserve">1,6 Mrd. Euro umfasst dieser </w:t>
      </w:r>
      <w:r w:rsidR="000B3559">
        <w:rPr>
          <w:rFonts w:ascii="Arial" w:hAnsi="Arial" w:cs="Arial"/>
          <w:sz w:val="22"/>
        </w:rPr>
        <w:t>rund</w:t>
      </w:r>
      <w:r w:rsidR="00B133D7" w:rsidRPr="00B133D7">
        <w:rPr>
          <w:rFonts w:ascii="Arial" w:hAnsi="Arial" w:cs="Arial"/>
          <w:sz w:val="22"/>
        </w:rPr>
        <w:t xml:space="preserve"> 10 % der Investitionen.</w:t>
      </w:r>
    </w:p>
    <w:p w14:paraId="67A2AA0A" w14:textId="77777777" w:rsidR="00B133D7" w:rsidRPr="00BF792F" w:rsidRDefault="00B133D7" w:rsidP="00BF792F">
      <w:pPr>
        <w:rPr>
          <w:rFonts w:ascii="Arial" w:hAnsi="Arial" w:cs="Arial"/>
          <w:sz w:val="22"/>
        </w:rPr>
      </w:pPr>
    </w:p>
    <w:p w14:paraId="07F158BE" w14:textId="77777777" w:rsidR="00EE6FB6" w:rsidRDefault="00BF792F" w:rsidP="00BF792F">
      <w:pPr>
        <w:rPr>
          <w:rFonts w:ascii="Arial" w:hAnsi="Arial" w:cs="Arial"/>
          <w:sz w:val="22"/>
        </w:rPr>
      </w:pPr>
      <w:r w:rsidRPr="00BF792F">
        <w:rPr>
          <w:rFonts w:ascii="Arial" w:hAnsi="Arial" w:cs="Arial"/>
          <w:sz w:val="22"/>
        </w:rPr>
        <w:t>Im Jahr 2023 wendeten die Mitgliedsunternehmen des vtw rund 236 Mio. Euro für Instandhaltung/-setzung, das waren 8,3 % mehr als im Jahr 2022, auf. Auf Modernisierungsmaßnahmen entfielen 188 Mio. Euro. Das entspricht einer Steigerung um 10,9 %. Im gleichen Zeitraum stiegen die Verbraucherpreise um 5,9 %. Der Anstieg der Energie- und Baupreise war allerdings deutlich höher.</w:t>
      </w:r>
    </w:p>
    <w:p w14:paraId="2838727E" w14:textId="416B254A" w:rsidR="00EE6FB6" w:rsidRDefault="00EE6FB6">
      <w:pPr>
        <w:spacing w:after="160" w:line="278" w:lineRule="auto"/>
        <w:rPr>
          <w:rFonts w:ascii="Arial" w:hAnsi="Arial" w:cs="Arial"/>
          <w:sz w:val="22"/>
        </w:rPr>
      </w:pPr>
      <w:r>
        <w:rPr>
          <w:rFonts w:ascii="Arial" w:hAnsi="Arial" w:cs="Arial"/>
          <w:sz w:val="22"/>
        </w:rPr>
        <w:br w:type="page"/>
      </w:r>
    </w:p>
    <w:p w14:paraId="74D2CC2E" w14:textId="6B128AFE" w:rsidR="00BF792F" w:rsidRPr="00BF792F" w:rsidRDefault="00BF792F" w:rsidP="00BF792F">
      <w:pPr>
        <w:rPr>
          <w:rFonts w:ascii="Arial" w:hAnsi="Arial" w:cs="Arial"/>
          <w:sz w:val="22"/>
        </w:rPr>
      </w:pPr>
      <w:r w:rsidRPr="00BF792F">
        <w:rPr>
          <w:rFonts w:ascii="Arial" w:hAnsi="Arial" w:cs="Arial"/>
          <w:sz w:val="22"/>
        </w:rPr>
        <w:lastRenderedPageBreak/>
        <w:t>In Bezug auf den Neubau ist allerdings ein deutlicher Rückgang der Investitionen zu verzeichnen. Zum einen dauerte die Fertigstellung häufig länger als geplant, da teilweise Lieferengpässe herrschten oder auch Nachfinanzierungen erforderlich waren. Zum anderen verschoben sich Baubeginne, weil Preissteigerungen Neukalkulationen erforderlich machten und sich auch hier der Handwerkermangel bemerkbar machte. Auffällig ist außerdem, dass eine ganze Reihe von Neubauvorhaben zunächst zurückgestellt wurde.</w:t>
      </w:r>
    </w:p>
    <w:p w14:paraId="55F00389" w14:textId="77777777" w:rsidR="00BF792F" w:rsidRPr="00BF792F" w:rsidRDefault="00BF792F" w:rsidP="00BF792F">
      <w:pPr>
        <w:rPr>
          <w:rFonts w:ascii="Arial" w:hAnsi="Arial" w:cs="Arial"/>
          <w:sz w:val="22"/>
        </w:rPr>
      </w:pPr>
    </w:p>
    <w:p w14:paraId="0D6DDB34" w14:textId="6DDD0D86" w:rsidR="00BF792F" w:rsidRPr="00BF792F" w:rsidRDefault="00BF792F" w:rsidP="00BF792F">
      <w:pPr>
        <w:rPr>
          <w:rFonts w:ascii="Arial" w:hAnsi="Arial" w:cs="Arial"/>
          <w:sz w:val="22"/>
        </w:rPr>
      </w:pPr>
      <w:r w:rsidRPr="00BF792F">
        <w:rPr>
          <w:rFonts w:ascii="Arial" w:hAnsi="Arial" w:cs="Arial"/>
          <w:sz w:val="22"/>
        </w:rPr>
        <w:t>In den letzten beiden Jahren haben sich die Aufwendungen für Modernisierung und Instandhaltung/-setzung</w:t>
      </w:r>
      <w:r w:rsidR="00EE6FB6">
        <w:rPr>
          <w:rFonts w:ascii="Arial" w:hAnsi="Arial" w:cs="Arial"/>
          <w:sz w:val="22"/>
        </w:rPr>
        <w:t>,</w:t>
      </w:r>
      <w:r w:rsidRPr="00BF792F">
        <w:rPr>
          <w:rFonts w:ascii="Arial" w:hAnsi="Arial" w:cs="Arial"/>
          <w:sz w:val="22"/>
        </w:rPr>
        <w:t xml:space="preserve"> bezogen auf den Quadratmeter</w:t>
      </w:r>
      <w:r w:rsidR="00EE6FB6">
        <w:rPr>
          <w:rFonts w:ascii="Arial" w:hAnsi="Arial" w:cs="Arial"/>
          <w:sz w:val="22"/>
        </w:rPr>
        <w:t>,</w:t>
      </w:r>
      <w:r w:rsidRPr="00BF792F">
        <w:rPr>
          <w:rFonts w:ascii="Arial" w:hAnsi="Arial" w:cs="Arial"/>
          <w:sz w:val="22"/>
        </w:rPr>
        <w:t xml:space="preserve"> angenähert. Noch sind allerdings die Aufwendungen für Modernisierung mit durchschnittlich 13,14 Euro/m² deutlich niedriger als die für Instandhaltung/-setzung mit 16,43 Euro/m². In der Summe nähern sich die Bestandsinvestitionen der Marke von 30,00 Euro/m². Trotz des Anstiegs der Investitionsmittel um 8,2 % zum Vorjahr konnten wegen stärker gestiegenen Baukosten weniger Wohnungen saniert werden.</w:t>
      </w:r>
    </w:p>
    <w:p w14:paraId="3BB2B3EA" w14:textId="77777777" w:rsidR="00B133D7" w:rsidRPr="00CE18F9" w:rsidRDefault="00B133D7" w:rsidP="000617F0">
      <w:pPr>
        <w:rPr>
          <w:rFonts w:ascii="Arial" w:hAnsi="Arial" w:cs="Arial"/>
          <w:sz w:val="22"/>
        </w:rPr>
      </w:pPr>
    </w:p>
    <w:p w14:paraId="7D52C3B2" w14:textId="77777777" w:rsidR="00A00755" w:rsidRDefault="000617F0" w:rsidP="00A00755">
      <w:pPr>
        <w:rPr>
          <w:rFonts w:ascii="Arial" w:hAnsi="Arial" w:cs="Arial"/>
          <w:sz w:val="22"/>
        </w:rPr>
      </w:pPr>
      <w:r w:rsidRPr="00CE18F9">
        <w:rPr>
          <w:rFonts w:ascii="Arial" w:hAnsi="Arial" w:cs="Arial"/>
          <w:sz w:val="22"/>
        </w:rPr>
        <w:t>Die durchschnittliche Nettokaltmiete der im Dezember 202</w:t>
      </w:r>
      <w:r w:rsidR="000B3559">
        <w:rPr>
          <w:rFonts w:ascii="Arial" w:hAnsi="Arial" w:cs="Arial"/>
          <w:sz w:val="22"/>
        </w:rPr>
        <w:t>3</w:t>
      </w:r>
      <w:r w:rsidRPr="00CE18F9">
        <w:rPr>
          <w:rFonts w:ascii="Arial" w:hAnsi="Arial" w:cs="Arial"/>
          <w:sz w:val="22"/>
        </w:rPr>
        <w:t xml:space="preserve"> vermieteten Wohnungen in den Mitgliedsunternehmen des vtw ist im Vergleich mit dem Vorjahr um </w:t>
      </w:r>
      <w:r w:rsidR="000B3559">
        <w:rPr>
          <w:rFonts w:ascii="Arial" w:hAnsi="Arial" w:cs="Arial"/>
          <w:sz w:val="22"/>
        </w:rPr>
        <w:t>2,2</w:t>
      </w:r>
      <w:r w:rsidRPr="00CE18F9">
        <w:rPr>
          <w:rFonts w:ascii="Arial" w:hAnsi="Arial" w:cs="Arial"/>
          <w:sz w:val="22"/>
        </w:rPr>
        <w:t xml:space="preserve"> % auf 5,</w:t>
      </w:r>
      <w:r w:rsidR="000B3559">
        <w:rPr>
          <w:rFonts w:ascii="Arial" w:hAnsi="Arial" w:cs="Arial"/>
          <w:sz w:val="22"/>
        </w:rPr>
        <w:t>47</w:t>
      </w:r>
      <w:r w:rsidRPr="00CE18F9">
        <w:rPr>
          <w:rFonts w:ascii="Arial" w:hAnsi="Arial" w:cs="Arial"/>
          <w:sz w:val="22"/>
        </w:rPr>
        <w:t xml:space="preserve"> Euro/m² monatlich gestiegen (202</w:t>
      </w:r>
      <w:r w:rsidR="000B3559">
        <w:rPr>
          <w:rFonts w:ascii="Arial" w:hAnsi="Arial" w:cs="Arial"/>
          <w:sz w:val="22"/>
        </w:rPr>
        <w:t>2</w:t>
      </w:r>
      <w:r w:rsidRPr="00CE18F9">
        <w:rPr>
          <w:rFonts w:ascii="Arial" w:hAnsi="Arial" w:cs="Arial"/>
          <w:sz w:val="22"/>
        </w:rPr>
        <w:t>: 5,</w:t>
      </w:r>
      <w:r w:rsidR="000B3559">
        <w:rPr>
          <w:rFonts w:ascii="Arial" w:hAnsi="Arial" w:cs="Arial"/>
          <w:sz w:val="22"/>
        </w:rPr>
        <w:t>35</w:t>
      </w:r>
      <w:r w:rsidRPr="00CE18F9">
        <w:rPr>
          <w:rFonts w:ascii="Arial" w:hAnsi="Arial" w:cs="Arial"/>
          <w:sz w:val="22"/>
        </w:rPr>
        <w:t xml:space="preserve"> Euro/m²). </w:t>
      </w:r>
      <w:r w:rsidR="000B3559">
        <w:rPr>
          <w:rFonts w:ascii="Arial" w:hAnsi="Arial" w:cs="Arial"/>
          <w:sz w:val="22"/>
        </w:rPr>
        <w:t xml:space="preserve">Diese Steigerung liegt deutlich unter der Inflationsrate von </w:t>
      </w:r>
      <w:r w:rsidR="00465112">
        <w:rPr>
          <w:rFonts w:ascii="Arial" w:hAnsi="Arial" w:cs="Arial"/>
          <w:sz w:val="22"/>
        </w:rPr>
        <w:t>6,2 % in Thüringen im Jahr 2023.</w:t>
      </w:r>
      <w:r w:rsidR="00A00755">
        <w:rPr>
          <w:rFonts w:ascii="Arial" w:hAnsi="Arial" w:cs="Arial"/>
          <w:sz w:val="22"/>
        </w:rPr>
        <w:t xml:space="preserve"> Nach erheblichen Anstiegen bei den Vorauszahlungen </w:t>
      </w:r>
      <w:r w:rsidR="00A00755" w:rsidRPr="00A00755">
        <w:rPr>
          <w:rFonts w:ascii="Arial" w:hAnsi="Arial" w:cs="Arial"/>
          <w:sz w:val="22"/>
        </w:rPr>
        <w:t>für Betriebs- und Heizkosten</w:t>
      </w:r>
      <w:r w:rsidR="00A00755">
        <w:rPr>
          <w:rFonts w:ascii="Arial" w:hAnsi="Arial" w:cs="Arial"/>
          <w:sz w:val="22"/>
        </w:rPr>
        <w:t xml:space="preserve"> im Jahr 2022 war im Jahr 2023 ein deutliches Abflachen dieser Entwicklung zu verzeichnen. </w:t>
      </w:r>
    </w:p>
    <w:p w14:paraId="561ACF89" w14:textId="77777777" w:rsidR="00A00755" w:rsidRDefault="00A00755" w:rsidP="00A00755">
      <w:pPr>
        <w:rPr>
          <w:rFonts w:ascii="Arial" w:hAnsi="Arial" w:cs="Arial"/>
          <w:sz w:val="22"/>
        </w:rPr>
      </w:pPr>
    </w:p>
    <w:p w14:paraId="7ED833EF" w14:textId="6B2A7015" w:rsidR="00A00755" w:rsidRPr="00A00755" w:rsidRDefault="00A00755" w:rsidP="00A00755">
      <w:pPr>
        <w:rPr>
          <w:rFonts w:ascii="Arial" w:hAnsi="Arial" w:cs="Arial"/>
          <w:sz w:val="22"/>
        </w:rPr>
      </w:pPr>
      <w:r>
        <w:rPr>
          <w:rFonts w:ascii="Arial" w:hAnsi="Arial" w:cs="Arial"/>
          <w:sz w:val="22"/>
        </w:rPr>
        <w:t>Die Vorauszahlungen für kalte Betriebskosten stiegen 2023 um 2,8 % auf 1,45 Euro/m² (2022: 1,41 Euro/m²). In Bezug auf die Vorauszahlungen für Heizung /Warmwasser ist im Durchschnitt sogar ein</w:t>
      </w:r>
      <w:r w:rsidRPr="00A00755">
        <w:rPr>
          <w:rFonts w:ascii="Arial" w:hAnsi="Arial" w:cs="Arial"/>
          <w:sz w:val="22"/>
        </w:rPr>
        <w:t xml:space="preserve"> leichter Rückgang </w:t>
      </w:r>
      <w:r>
        <w:rPr>
          <w:rFonts w:ascii="Arial" w:hAnsi="Arial" w:cs="Arial"/>
          <w:sz w:val="22"/>
        </w:rPr>
        <w:t>festzustellen</w:t>
      </w:r>
      <w:r w:rsidRPr="00A00755">
        <w:rPr>
          <w:rFonts w:ascii="Arial" w:hAnsi="Arial" w:cs="Arial"/>
          <w:sz w:val="22"/>
        </w:rPr>
        <w:t xml:space="preserve">. Im Zuge der teilweise exorbitanten Energiepreisanstiege im Jahr 2022, auch im Zusammenhang mit dem Krieg in der Ukraine, passten viele Mieter - auch auf Anraten der Wohnungsunternehmen - ihre Vorauszahlungen an, um hohe Nachzahlungen bei der Abrechnung zu vermeiden. Die Abrechnungen im Jahr 2023 für das Jahr 2022 fielen dann vielfach günstiger aus, als erwartet. Ursächlich dafür waren eine Reihe kurzfristiger politischer Maßnahmen, die inzwischen jedoch ausgelaufen sind. </w:t>
      </w:r>
    </w:p>
    <w:p w14:paraId="2BEB39CD" w14:textId="77777777" w:rsidR="00A00755" w:rsidRPr="00CE18F9" w:rsidRDefault="00A00755" w:rsidP="000617F0">
      <w:pPr>
        <w:rPr>
          <w:rFonts w:ascii="Arial" w:hAnsi="Arial" w:cs="Arial"/>
          <w:sz w:val="22"/>
        </w:rPr>
      </w:pPr>
    </w:p>
    <w:p w14:paraId="3D513466" w14:textId="03E53405" w:rsidR="000823E5" w:rsidRDefault="000823E5" w:rsidP="000823E5">
      <w:pPr>
        <w:rPr>
          <w:rFonts w:ascii="Arial" w:hAnsi="Arial" w:cs="Arial"/>
          <w:sz w:val="22"/>
        </w:rPr>
      </w:pPr>
      <w:r>
        <w:rPr>
          <w:rFonts w:ascii="Arial" w:hAnsi="Arial" w:cs="Arial"/>
          <w:sz w:val="22"/>
        </w:rPr>
        <w:t>Nachdem es i</w:t>
      </w:r>
      <w:r w:rsidR="000617F0" w:rsidRPr="00CE18F9">
        <w:rPr>
          <w:rFonts w:ascii="Arial" w:hAnsi="Arial" w:cs="Arial"/>
          <w:sz w:val="22"/>
        </w:rPr>
        <w:t xml:space="preserve">m Jahr 2022 zu einem deutlichen Rückgang des Leerstandes um mehr als 2.500 Wohnungen </w:t>
      </w:r>
      <w:r>
        <w:rPr>
          <w:rFonts w:ascii="Arial" w:hAnsi="Arial" w:cs="Arial"/>
          <w:sz w:val="22"/>
        </w:rPr>
        <w:t xml:space="preserve">kam und die </w:t>
      </w:r>
      <w:r w:rsidR="000617F0" w:rsidRPr="00CE18F9">
        <w:rPr>
          <w:rFonts w:ascii="Arial" w:hAnsi="Arial" w:cs="Arial"/>
          <w:sz w:val="22"/>
        </w:rPr>
        <w:t>Leerstandquote von 9 % auf 8,1 %</w:t>
      </w:r>
      <w:r>
        <w:rPr>
          <w:rFonts w:ascii="Arial" w:hAnsi="Arial" w:cs="Arial"/>
          <w:sz w:val="22"/>
        </w:rPr>
        <w:t xml:space="preserve"> sank</w:t>
      </w:r>
      <w:r w:rsidR="000617F0" w:rsidRPr="00CE18F9">
        <w:rPr>
          <w:rFonts w:ascii="Arial" w:hAnsi="Arial" w:cs="Arial"/>
          <w:sz w:val="22"/>
        </w:rPr>
        <w:t xml:space="preserve">, </w:t>
      </w:r>
      <w:r>
        <w:rPr>
          <w:rFonts w:ascii="Arial" w:hAnsi="Arial" w:cs="Arial"/>
          <w:sz w:val="22"/>
        </w:rPr>
        <w:t xml:space="preserve">ist nunmehr nur noch ein geringfügiger Rückgang um 300 Wohnungen zu verzeichnen. Im Jahr 2022 wurden </w:t>
      </w:r>
      <w:r w:rsidRPr="00CE18F9">
        <w:rPr>
          <w:rFonts w:ascii="Arial" w:hAnsi="Arial" w:cs="Arial"/>
          <w:sz w:val="22"/>
        </w:rPr>
        <w:t xml:space="preserve">zunächst </w:t>
      </w:r>
      <w:r>
        <w:rPr>
          <w:rFonts w:ascii="Arial" w:hAnsi="Arial" w:cs="Arial"/>
          <w:sz w:val="22"/>
        </w:rPr>
        <w:t xml:space="preserve">viele Wohnungen </w:t>
      </w:r>
      <w:r w:rsidRPr="00CE18F9">
        <w:rPr>
          <w:rFonts w:ascii="Arial" w:hAnsi="Arial" w:cs="Arial"/>
          <w:sz w:val="22"/>
        </w:rPr>
        <w:t>an die Städte und Landkreise für die Unterbringung ukrainischer Flüchtlinge vermietet</w:t>
      </w:r>
      <w:r>
        <w:rPr>
          <w:rFonts w:ascii="Arial" w:hAnsi="Arial" w:cs="Arial"/>
          <w:sz w:val="22"/>
        </w:rPr>
        <w:t>.</w:t>
      </w:r>
      <w:r w:rsidRPr="00CE18F9">
        <w:rPr>
          <w:rFonts w:ascii="Arial" w:hAnsi="Arial" w:cs="Arial"/>
          <w:sz w:val="22"/>
        </w:rPr>
        <w:t xml:space="preserve"> Später, mit der Übernahme der Kosten der Unterkunft durch die Jobcenter, erfolgten zunehmend auch Mietvertragsabschlüsse mit ukrainischen Flüchtlingen.</w:t>
      </w:r>
      <w:r>
        <w:rPr>
          <w:rFonts w:ascii="Arial" w:hAnsi="Arial" w:cs="Arial"/>
          <w:sz w:val="22"/>
        </w:rPr>
        <w:t xml:space="preserve"> </w:t>
      </w:r>
    </w:p>
    <w:p w14:paraId="684851BC" w14:textId="77777777" w:rsidR="000823E5" w:rsidRDefault="000823E5" w:rsidP="000823E5">
      <w:pPr>
        <w:rPr>
          <w:rFonts w:ascii="Arial" w:hAnsi="Arial" w:cs="Arial"/>
          <w:sz w:val="22"/>
        </w:rPr>
      </w:pPr>
    </w:p>
    <w:p w14:paraId="41446A4B" w14:textId="61E41C3F" w:rsidR="000823E5" w:rsidRPr="000823E5" w:rsidRDefault="000823E5" w:rsidP="000823E5">
      <w:pPr>
        <w:rPr>
          <w:rFonts w:ascii="Arial" w:hAnsi="Arial" w:cs="Arial"/>
          <w:sz w:val="22"/>
        </w:rPr>
      </w:pPr>
      <w:r w:rsidRPr="000823E5">
        <w:rPr>
          <w:rFonts w:ascii="Arial" w:hAnsi="Arial" w:cs="Arial"/>
          <w:sz w:val="22"/>
        </w:rPr>
        <w:t>Ende 2023 standen insgesamt 20.960 bewirtschaftete Wohnungen leer. Damit verringerte sich die Leerstandsquote von 8,1 % auf 7,9 %. In den drei Städten Erfurt, Jena und Weimar stieg der Leerstand um 150 Wohnungen</w:t>
      </w:r>
      <w:r w:rsidR="00EE6FB6">
        <w:rPr>
          <w:rFonts w:ascii="Arial" w:hAnsi="Arial" w:cs="Arial"/>
          <w:sz w:val="22"/>
        </w:rPr>
        <w:t xml:space="preserve"> (</w:t>
      </w:r>
      <w:r w:rsidR="00114912">
        <w:rPr>
          <w:rFonts w:ascii="Arial" w:hAnsi="Arial" w:cs="Arial"/>
          <w:sz w:val="22"/>
        </w:rPr>
        <w:t>mehrheitlich wegen Mieterwechsel</w:t>
      </w:r>
      <w:r w:rsidR="00EE6FB6">
        <w:rPr>
          <w:rFonts w:ascii="Arial" w:hAnsi="Arial" w:cs="Arial"/>
          <w:sz w:val="22"/>
        </w:rPr>
        <w:t xml:space="preserve">) </w:t>
      </w:r>
      <w:r w:rsidRPr="000823E5">
        <w:rPr>
          <w:rFonts w:ascii="Arial" w:hAnsi="Arial" w:cs="Arial"/>
          <w:sz w:val="22"/>
        </w:rPr>
        <w:t xml:space="preserve">an. Die Leerstandsquote </w:t>
      </w:r>
      <w:r w:rsidR="00114912">
        <w:rPr>
          <w:rFonts w:ascii="Arial" w:hAnsi="Arial" w:cs="Arial"/>
          <w:sz w:val="22"/>
        </w:rPr>
        <w:t xml:space="preserve">der drei Städte </w:t>
      </w:r>
      <w:r w:rsidRPr="000823E5">
        <w:rPr>
          <w:rFonts w:ascii="Arial" w:hAnsi="Arial" w:cs="Arial"/>
          <w:sz w:val="22"/>
        </w:rPr>
        <w:t>erhöhte sich auf 4,0 %. Im ländlichen Raum verringerte sich der Leerstand um 450 Wohnungen, die Leerstandsquote sank auf 9,5 %.</w:t>
      </w:r>
    </w:p>
    <w:p w14:paraId="78AE9243" w14:textId="77777777" w:rsidR="000823E5" w:rsidRPr="000823E5" w:rsidRDefault="000823E5" w:rsidP="000823E5">
      <w:pPr>
        <w:rPr>
          <w:rFonts w:ascii="Arial" w:hAnsi="Arial" w:cs="Arial"/>
          <w:sz w:val="22"/>
        </w:rPr>
      </w:pPr>
    </w:p>
    <w:p w14:paraId="4ABD5672" w14:textId="1BD9629C" w:rsidR="000823E5" w:rsidRPr="000823E5" w:rsidRDefault="000823E5" w:rsidP="000823E5">
      <w:pPr>
        <w:rPr>
          <w:rFonts w:ascii="Arial" w:hAnsi="Arial" w:cs="Arial"/>
          <w:sz w:val="22"/>
        </w:rPr>
      </w:pPr>
      <w:r w:rsidRPr="000823E5">
        <w:rPr>
          <w:rFonts w:ascii="Arial" w:hAnsi="Arial" w:cs="Arial"/>
          <w:sz w:val="22"/>
        </w:rPr>
        <w:t xml:space="preserve">Die Hauptgründe für Leerstand sind nach wie vor </w:t>
      </w:r>
      <w:r w:rsidR="00EE6FB6">
        <w:rPr>
          <w:rFonts w:ascii="Arial" w:hAnsi="Arial" w:cs="Arial"/>
          <w:sz w:val="22"/>
        </w:rPr>
        <w:t>mangelnde</w:t>
      </w:r>
      <w:r w:rsidRPr="000823E5">
        <w:rPr>
          <w:rFonts w:ascii="Arial" w:hAnsi="Arial" w:cs="Arial"/>
          <w:sz w:val="22"/>
        </w:rPr>
        <w:t xml:space="preserve"> Nachfrage (7.330 Wohnungen), Mieterwechsel (4.530 Wohnungen), Modernisierung (4.250 Wohnungen) sowie geplanter Abriss (2.100 Wohnungen). </w:t>
      </w:r>
      <w:r w:rsidR="00114912">
        <w:rPr>
          <w:rFonts w:ascii="Arial" w:hAnsi="Arial" w:cs="Arial"/>
          <w:sz w:val="22"/>
        </w:rPr>
        <w:t>Zählt</w:t>
      </w:r>
      <w:r w:rsidRPr="000823E5">
        <w:rPr>
          <w:rFonts w:ascii="Arial" w:hAnsi="Arial" w:cs="Arial"/>
          <w:sz w:val="22"/>
        </w:rPr>
        <w:t xml:space="preserve"> man die wegen fehlender Nachfrage und bereits geplantem Abriss, meist wegen genau dieser fehlenden Nachfrage, zusammen, so stehen </w:t>
      </w:r>
      <w:r w:rsidR="00EE6FB6">
        <w:rPr>
          <w:rFonts w:ascii="Arial" w:hAnsi="Arial" w:cs="Arial"/>
          <w:sz w:val="22"/>
        </w:rPr>
        <w:br/>
      </w:r>
      <w:r w:rsidRPr="000823E5">
        <w:rPr>
          <w:rFonts w:ascii="Arial" w:hAnsi="Arial" w:cs="Arial"/>
          <w:sz w:val="22"/>
        </w:rPr>
        <w:t>45 % der Wohnungen allein aus diesen beiden Gründen leer. Dazu gerechnet werden müssten noch rund 1.100 Wohnungen, die stillgelegt wurden und abgerissen werden sollen</w:t>
      </w:r>
    </w:p>
    <w:p w14:paraId="08A7FC01" w14:textId="071C79CD" w:rsidR="00EE6FB6" w:rsidRDefault="00EE6FB6">
      <w:pPr>
        <w:spacing w:after="160" w:line="278" w:lineRule="auto"/>
        <w:rPr>
          <w:rFonts w:ascii="Arial" w:hAnsi="Arial" w:cs="Arial"/>
          <w:sz w:val="22"/>
        </w:rPr>
      </w:pPr>
      <w:r>
        <w:rPr>
          <w:rFonts w:ascii="Arial" w:hAnsi="Arial" w:cs="Arial"/>
          <w:sz w:val="22"/>
        </w:rPr>
        <w:br w:type="page"/>
      </w:r>
    </w:p>
    <w:p w14:paraId="7006BDF3" w14:textId="77777777" w:rsidR="000617F0" w:rsidRPr="000617F0" w:rsidRDefault="000617F0" w:rsidP="000617F0">
      <w:pPr>
        <w:rPr>
          <w:rFonts w:ascii="Arial" w:eastAsia="Times New Roman" w:hAnsi="Arial" w:cs="Arial"/>
          <w:i/>
          <w:iCs/>
          <w:sz w:val="22"/>
          <w:lang w:eastAsia="de-DE"/>
        </w:rPr>
      </w:pPr>
      <w:r w:rsidRPr="000617F0">
        <w:rPr>
          <w:rFonts w:ascii="Arial" w:eastAsia="Times New Roman" w:hAnsi="Arial" w:cs="Arial"/>
          <w:b/>
          <w:i/>
          <w:iCs/>
          <w:sz w:val="22"/>
          <w:lang w:eastAsia="de-DE"/>
        </w:rPr>
        <w:lastRenderedPageBreak/>
        <w:t>Betriebswirtschaftliche Branchenentwicklung</w:t>
      </w:r>
    </w:p>
    <w:p w14:paraId="4DB1FC2D" w14:textId="77777777" w:rsidR="000617F0" w:rsidRPr="00730F45" w:rsidRDefault="000617F0" w:rsidP="000617F0">
      <w:pPr>
        <w:rPr>
          <w:rFonts w:ascii="Arial" w:eastAsia="Times New Roman" w:hAnsi="Arial" w:cs="Arial"/>
          <w:sz w:val="22"/>
          <w:lang w:eastAsia="de-DE"/>
        </w:rPr>
      </w:pPr>
    </w:p>
    <w:p w14:paraId="40242F93" w14:textId="1EBEBBC5" w:rsidR="000617F0" w:rsidRPr="00730F45" w:rsidRDefault="000617F0" w:rsidP="000617F0">
      <w:pPr>
        <w:rPr>
          <w:rFonts w:ascii="Arial" w:hAnsi="Arial" w:cs="Arial"/>
          <w:sz w:val="22"/>
        </w:rPr>
      </w:pPr>
      <w:r w:rsidRPr="00730F45">
        <w:rPr>
          <w:rFonts w:ascii="Arial" w:hAnsi="Arial" w:cs="Arial"/>
          <w:sz w:val="22"/>
        </w:rPr>
        <w:t>Die mittlere monatliche Sollmiete (Median) der erfassten Unternehmen lag im Jahr 202</w:t>
      </w:r>
      <w:r w:rsidR="00730F45" w:rsidRPr="00730F45">
        <w:rPr>
          <w:rFonts w:ascii="Arial" w:hAnsi="Arial" w:cs="Arial"/>
          <w:sz w:val="22"/>
        </w:rPr>
        <w:t>2</w:t>
      </w:r>
      <w:r w:rsidRPr="00730F45">
        <w:rPr>
          <w:rFonts w:ascii="Arial" w:hAnsi="Arial" w:cs="Arial"/>
          <w:sz w:val="22"/>
        </w:rPr>
        <w:t xml:space="preserve"> bei 5,</w:t>
      </w:r>
      <w:r w:rsidR="00730F45" w:rsidRPr="00730F45">
        <w:rPr>
          <w:rFonts w:ascii="Arial" w:hAnsi="Arial" w:cs="Arial"/>
          <w:sz w:val="22"/>
        </w:rPr>
        <w:t>17</w:t>
      </w:r>
      <w:r w:rsidRPr="00730F45">
        <w:rPr>
          <w:rFonts w:ascii="Arial" w:hAnsi="Arial" w:cs="Arial"/>
          <w:sz w:val="22"/>
        </w:rPr>
        <w:t xml:space="preserve"> Euro/m² (202</w:t>
      </w:r>
      <w:r w:rsidR="00730F45" w:rsidRPr="00730F45">
        <w:rPr>
          <w:rFonts w:ascii="Arial" w:hAnsi="Arial" w:cs="Arial"/>
          <w:sz w:val="22"/>
        </w:rPr>
        <w:t>1</w:t>
      </w:r>
      <w:r w:rsidRPr="00730F45">
        <w:rPr>
          <w:rFonts w:ascii="Arial" w:hAnsi="Arial" w:cs="Arial"/>
          <w:sz w:val="22"/>
        </w:rPr>
        <w:t xml:space="preserve">: </w:t>
      </w:r>
      <w:r w:rsidR="00730F45" w:rsidRPr="00730F45">
        <w:rPr>
          <w:rFonts w:ascii="Arial" w:hAnsi="Arial" w:cs="Arial"/>
          <w:sz w:val="22"/>
        </w:rPr>
        <w:t>5,06</w:t>
      </w:r>
      <w:r w:rsidRPr="00730F45">
        <w:rPr>
          <w:rFonts w:ascii="Arial" w:hAnsi="Arial" w:cs="Arial"/>
          <w:sz w:val="22"/>
        </w:rPr>
        <w:t xml:space="preserve"> Euro/m²), die mittlere Sollmiete der Wohnungen betrug 5,</w:t>
      </w:r>
      <w:r w:rsidR="00730F45" w:rsidRPr="00730F45">
        <w:rPr>
          <w:rFonts w:ascii="Arial" w:hAnsi="Arial" w:cs="Arial"/>
          <w:sz w:val="22"/>
        </w:rPr>
        <w:t>2</w:t>
      </w:r>
      <w:r w:rsidRPr="00730F45">
        <w:rPr>
          <w:rFonts w:ascii="Arial" w:hAnsi="Arial" w:cs="Arial"/>
          <w:sz w:val="22"/>
        </w:rPr>
        <w:t>0</w:t>
      </w:r>
      <w:r w:rsidR="00EE6FB6">
        <w:rPr>
          <w:rFonts w:ascii="Arial" w:hAnsi="Arial" w:cs="Arial"/>
          <w:sz w:val="22"/>
        </w:rPr>
        <w:t xml:space="preserve"> </w:t>
      </w:r>
      <w:r w:rsidRPr="00730F45">
        <w:rPr>
          <w:rFonts w:ascii="Arial" w:hAnsi="Arial" w:cs="Arial"/>
          <w:sz w:val="22"/>
        </w:rPr>
        <w:t>Euro/m² (202</w:t>
      </w:r>
      <w:r w:rsidR="00730F45" w:rsidRPr="00730F45">
        <w:rPr>
          <w:rFonts w:ascii="Arial" w:hAnsi="Arial" w:cs="Arial"/>
          <w:sz w:val="22"/>
        </w:rPr>
        <w:t>1</w:t>
      </w:r>
      <w:r w:rsidRPr="00730F45">
        <w:rPr>
          <w:rFonts w:ascii="Arial" w:hAnsi="Arial" w:cs="Arial"/>
          <w:sz w:val="22"/>
        </w:rPr>
        <w:t xml:space="preserve">: </w:t>
      </w:r>
      <w:r w:rsidR="00730F45" w:rsidRPr="00730F45">
        <w:rPr>
          <w:rFonts w:ascii="Arial" w:hAnsi="Arial" w:cs="Arial"/>
          <w:sz w:val="22"/>
        </w:rPr>
        <w:t>5,00</w:t>
      </w:r>
      <w:r w:rsidRPr="00730F45">
        <w:rPr>
          <w:rFonts w:ascii="Arial" w:hAnsi="Arial" w:cs="Arial"/>
          <w:sz w:val="22"/>
        </w:rPr>
        <w:t xml:space="preserve"> Euro/m²). Die Werte der einzelnen Unternehmen reichten von 4,0</w:t>
      </w:r>
      <w:r w:rsidR="00730F45" w:rsidRPr="00730F45">
        <w:rPr>
          <w:rFonts w:ascii="Arial" w:hAnsi="Arial" w:cs="Arial"/>
          <w:sz w:val="22"/>
        </w:rPr>
        <w:t>2</w:t>
      </w:r>
      <w:r w:rsidRPr="00730F45">
        <w:rPr>
          <w:rFonts w:ascii="Arial" w:hAnsi="Arial" w:cs="Arial"/>
          <w:sz w:val="22"/>
        </w:rPr>
        <w:t xml:space="preserve"> Euro/m² in einem kleinen Unternehmen im ländlichen Raum bis 6,</w:t>
      </w:r>
      <w:r w:rsidR="00730F45" w:rsidRPr="00730F45">
        <w:rPr>
          <w:rFonts w:ascii="Arial" w:hAnsi="Arial" w:cs="Arial"/>
          <w:sz w:val="22"/>
        </w:rPr>
        <w:t>5</w:t>
      </w:r>
      <w:r w:rsidRPr="00730F45">
        <w:rPr>
          <w:rFonts w:ascii="Arial" w:hAnsi="Arial" w:cs="Arial"/>
          <w:sz w:val="22"/>
        </w:rPr>
        <w:t>2 Euro/m² in einem Unternehmen mit einem besonderen Wohnungsbestand in einer großen Stadt. Im Jahr 202</w:t>
      </w:r>
      <w:r w:rsidR="00730F45" w:rsidRPr="00730F45">
        <w:rPr>
          <w:rFonts w:ascii="Arial" w:hAnsi="Arial" w:cs="Arial"/>
          <w:sz w:val="22"/>
        </w:rPr>
        <w:t>2</w:t>
      </w:r>
      <w:r w:rsidRPr="00730F45">
        <w:rPr>
          <w:rFonts w:ascii="Arial" w:hAnsi="Arial" w:cs="Arial"/>
          <w:sz w:val="22"/>
        </w:rPr>
        <w:t xml:space="preserve"> ist </w:t>
      </w:r>
      <w:r w:rsidR="00730F45" w:rsidRPr="00730F45">
        <w:rPr>
          <w:rFonts w:ascii="Arial" w:hAnsi="Arial" w:cs="Arial"/>
          <w:sz w:val="22"/>
        </w:rPr>
        <w:t xml:space="preserve">erneut </w:t>
      </w:r>
      <w:r w:rsidRPr="00730F45">
        <w:rPr>
          <w:rFonts w:ascii="Arial" w:hAnsi="Arial" w:cs="Arial"/>
          <w:sz w:val="22"/>
        </w:rPr>
        <w:t xml:space="preserve">ein deutlicher Anstieg der durchschnittlichen monatlichen Betriebs- und Heizkosten zu verzeichnen. Die Spanne reichte von </w:t>
      </w:r>
      <w:r w:rsidR="00730F45" w:rsidRPr="00730F45">
        <w:rPr>
          <w:rFonts w:ascii="Arial" w:hAnsi="Arial" w:cs="Arial"/>
          <w:sz w:val="22"/>
        </w:rPr>
        <w:t>1,01</w:t>
      </w:r>
      <w:r w:rsidRPr="00730F45">
        <w:rPr>
          <w:rFonts w:ascii="Arial" w:hAnsi="Arial" w:cs="Arial"/>
          <w:sz w:val="22"/>
        </w:rPr>
        <w:t xml:space="preserve"> Euro/m² bis zu </w:t>
      </w:r>
      <w:r w:rsidR="00730F45" w:rsidRPr="00730F45">
        <w:rPr>
          <w:rFonts w:ascii="Arial" w:hAnsi="Arial" w:cs="Arial"/>
          <w:sz w:val="22"/>
        </w:rPr>
        <w:t>3,59</w:t>
      </w:r>
      <w:r w:rsidRPr="00730F45">
        <w:rPr>
          <w:rFonts w:ascii="Arial" w:hAnsi="Arial" w:cs="Arial"/>
          <w:sz w:val="22"/>
        </w:rPr>
        <w:t xml:space="preserve"> Euro/m². </w:t>
      </w:r>
    </w:p>
    <w:p w14:paraId="47420374" w14:textId="77777777" w:rsidR="000617F0" w:rsidRPr="00661061" w:rsidRDefault="000617F0" w:rsidP="00661061">
      <w:pPr>
        <w:rPr>
          <w:rFonts w:ascii="Arial" w:hAnsi="Arial" w:cs="Arial"/>
          <w:sz w:val="22"/>
        </w:rPr>
      </w:pPr>
    </w:p>
    <w:p w14:paraId="5EF8D439" w14:textId="0C27FE59" w:rsidR="00661061" w:rsidRPr="00661061" w:rsidRDefault="00661061" w:rsidP="00661061">
      <w:pPr>
        <w:rPr>
          <w:rFonts w:ascii="Arial" w:hAnsi="Arial" w:cs="Arial"/>
          <w:sz w:val="22"/>
        </w:rPr>
      </w:pPr>
      <w:r w:rsidRPr="00661061">
        <w:rPr>
          <w:rFonts w:ascii="Arial" w:hAnsi="Arial" w:cs="Arial"/>
          <w:sz w:val="22"/>
        </w:rPr>
        <w:t>Die Vermietungssituation weist im Jahr 2022 einige Besonderheiten auf. Dies wird insbesondere an der Wiedervermietungsquote, dem Verhältnis von neu abgeschlossenen zu gekündigten Mietverhältnissen, deutlich. Im Median aller beteiligten Unternehmen wurden 103,1 %, im arithmetischen Mittel sogar 106,0 % erreicht. Es wurden also deutlich mehr Wohnungen erneut vermietet als gekündigt wurden. Korrespondierend damit ist die Leerstandsquote, insbesondere der Gesellschaften, deutlich von 9,2 % auf 6,6 % im Median gesunken. Im Durchschnitt konnte die Leerstandsquote der Gesellschaften von 9,5 % auf 8,3 % reduziert werden. Auch die Leerstandsquoten der Genossenschaften verringerten sich bzw. blieben im Fall der kleinen Genossenschaften annähernd konstant. Ursächlich für diese Entwicklung ist die große Anzahl geflüchteter Menschen, insbesondere auch aus der Ukraine. Wohnungen wurden sowohl an die Landkreise und Städte als auch direkt an die Geflüchteten vermietet.</w:t>
      </w:r>
    </w:p>
    <w:p w14:paraId="677CE31B" w14:textId="0AF271EA" w:rsidR="00661061" w:rsidRPr="00A82457" w:rsidRDefault="00661061" w:rsidP="00A82457">
      <w:pPr>
        <w:rPr>
          <w:rFonts w:ascii="Arial" w:hAnsi="Arial" w:cs="Arial"/>
          <w:sz w:val="22"/>
        </w:rPr>
      </w:pPr>
    </w:p>
    <w:p w14:paraId="6E03A868" w14:textId="3ACFAFF3" w:rsidR="000617F0" w:rsidRPr="00A82457" w:rsidRDefault="00A82457" w:rsidP="000617F0">
      <w:pPr>
        <w:rPr>
          <w:rFonts w:ascii="Arial" w:hAnsi="Arial" w:cs="Arial"/>
          <w:sz w:val="22"/>
        </w:rPr>
      </w:pPr>
      <w:r w:rsidRPr="00A82457">
        <w:rPr>
          <w:rFonts w:ascii="Arial" w:hAnsi="Arial" w:cs="Arial"/>
          <w:sz w:val="22"/>
        </w:rPr>
        <w:t>Korrespondierend mit der Höhe der Leerstandsquoten haben sich auch die Erlösschmälerungsquoten betreffend Mieten und Umlagen in den Größengruppen der beiden Rechtsformen entwickelt. In der Gruppe der kleinen Genossenschaften lag die Spanne bei 0,4 % bis 11,1 %, mittelgroße Genossenschaften wiesen 0,5 % bis 18,5 % und große Genossenschaften 1,3 % bis</w:t>
      </w:r>
      <w:r>
        <w:rPr>
          <w:rFonts w:ascii="Arial" w:hAnsi="Arial" w:cs="Arial"/>
          <w:sz w:val="22"/>
        </w:rPr>
        <w:t xml:space="preserve"> </w:t>
      </w:r>
      <w:r w:rsidRPr="00A82457">
        <w:rPr>
          <w:rFonts w:ascii="Arial" w:hAnsi="Arial" w:cs="Arial"/>
          <w:sz w:val="22"/>
        </w:rPr>
        <w:t>13,8 % aus. Ähnlich verhält es sich bei den kleinen und mittelgroßen Gesellschaften (0,9 % bis 25,4 %) sowie große</w:t>
      </w:r>
      <w:r w:rsidR="00EE6FB6">
        <w:rPr>
          <w:rFonts w:ascii="Arial" w:hAnsi="Arial" w:cs="Arial"/>
          <w:sz w:val="22"/>
        </w:rPr>
        <w:t>n</w:t>
      </w:r>
      <w:r w:rsidRPr="00A82457">
        <w:rPr>
          <w:rFonts w:ascii="Arial" w:hAnsi="Arial" w:cs="Arial"/>
          <w:sz w:val="22"/>
        </w:rPr>
        <w:t xml:space="preserve"> Gesellschaften (2,7 % bis 16,5 %).</w:t>
      </w:r>
      <w:r w:rsidR="008F19CF">
        <w:rPr>
          <w:rFonts w:ascii="Arial" w:hAnsi="Arial" w:cs="Arial"/>
          <w:sz w:val="22"/>
        </w:rPr>
        <w:t xml:space="preserve"> </w:t>
      </w:r>
      <w:r w:rsidR="000617F0" w:rsidRPr="00A82457">
        <w:rPr>
          <w:rFonts w:ascii="Arial" w:hAnsi="Arial" w:cs="Arial"/>
          <w:sz w:val="22"/>
        </w:rPr>
        <w:t>Die Fluktuationsrate, d. h. das Verhältnis der gekündigten Wohnungen zum Gesamtbestand, hat sich im Vergleich zum Vorjahr nur marginal verändert (Median 8,</w:t>
      </w:r>
      <w:r w:rsidRPr="00A82457">
        <w:rPr>
          <w:rFonts w:ascii="Arial" w:hAnsi="Arial" w:cs="Arial"/>
          <w:sz w:val="22"/>
        </w:rPr>
        <w:t>1</w:t>
      </w:r>
      <w:r w:rsidR="000617F0" w:rsidRPr="00A82457">
        <w:rPr>
          <w:rFonts w:ascii="Arial" w:hAnsi="Arial" w:cs="Arial"/>
          <w:sz w:val="22"/>
        </w:rPr>
        <w:t xml:space="preserve"> %, arithmetisches Mittel 8,</w:t>
      </w:r>
      <w:r w:rsidRPr="00A82457">
        <w:rPr>
          <w:rFonts w:ascii="Arial" w:hAnsi="Arial" w:cs="Arial"/>
          <w:sz w:val="22"/>
        </w:rPr>
        <w:t>2</w:t>
      </w:r>
      <w:r w:rsidR="000617F0" w:rsidRPr="00A82457">
        <w:rPr>
          <w:rFonts w:ascii="Arial" w:hAnsi="Arial" w:cs="Arial"/>
          <w:sz w:val="22"/>
        </w:rPr>
        <w:t xml:space="preserve"> %). Im Durchschnitt wiesen die Genossenschaften eine Fluktuationsrate von 7,</w:t>
      </w:r>
      <w:r w:rsidRPr="00A82457">
        <w:rPr>
          <w:rFonts w:ascii="Arial" w:hAnsi="Arial" w:cs="Arial"/>
          <w:sz w:val="22"/>
        </w:rPr>
        <w:t>9</w:t>
      </w:r>
      <w:r w:rsidR="000617F0" w:rsidRPr="00A82457">
        <w:rPr>
          <w:rFonts w:ascii="Arial" w:hAnsi="Arial" w:cs="Arial"/>
          <w:sz w:val="22"/>
        </w:rPr>
        <w:t xml:space="preserve"> % (Median: </w:t>
      </w:r>
      <w:r w:rsidR="00EE6FB6">
        <w:rPr>
          <w:rFonts w:ascii="Arial" w:hAnsi="Arial" w:cs="Arial"/>
          <w:sz w:val="22"/>
        </w:rPr>
        <w:br/>
      </w:r>
      <w:r w:rsidR="000617F0" w:rsidRPr="00A82457">
        <w:rPr>
          <w:rFonts w:ascii="Arial" w:hAnsi="Arial" w:cs="Arial"/>
          <w:sz w:val="22"/>
        </w:rPr>
        <w:t>7,7 %), die Gesellschaften von 9,</w:t>
      </w:r>
      <w:r w:rsidRPr="00A82457">
        <w:rPr>
          <w:rFonts w:ascii="Arial" w:hAnsi="Arial" w:cs="Arial"/>
          <w:sz w:val="22"/>
        </w:rPr>
        <w:t>2</w:t>
      </w:r>
      <w:r w:rsidR="000617F0" w:rsidRPr="00A82457">
        <w:rPr>
          <w:rFonts w:ascii="Arial" w:hAnsi="Arial" w:cs="Arial"/>
          <w:sz w:val="22"/>
        </w:rPr>
        <w:t xml:space="preserve"> % (Median: 9</w:t>
      </w:r>
      <w:r w:rsidRPr="00A82457">
        <w:rPr>
          <w:rFonts w:ascii="Arial" w:hAnsi="Arial" w:cs="Arial"/>
          <w:sz w:val="22"/>
        </w:rPr>
        <w:t>,3</w:t>
      </w:r>
      <w:r w:rsidR="000617F0" w:rsidRPr="00A82457">
        <w:rPr>
          <w:rFonts w:ascii="Arial" w:hAnsi="Arial" w:cs="Arial"/>
          <w:sz w:val="22"/>
        </w:rPr>
        <w:t xml:space="preserve"> %) aus. </w:t>
      </w:r>
    </w:p>
    <w:p w14:paraId="1D60A1A8" w14:textId="77777777" w:rsidR="000617F0" w:rsidRPr="008F19CF" w:rsidRDefault="000617F0" w:rsidP="008F19CF">
      <w:pPr>
        <w:rPr>
          <w:rFonts w:ascii="Arial" w:hAnsi="Arial" w:cs="Arial"/>
          <w:sz w:val="22"/>
        </w:rPr>
      </w:pPr>
    </w:p>
    <w:p w14:paraId="0CCC8B76" w14:textId="5C5A0EC4" w:rsidR="000617F0" w:rsidRPr="008F19CF" w:rsidRDefault="008F19CF" w:rsidP="002B18AC">
      <w:pPr>
        <w:jc w:val="both"/>
        <w:rPr>
          <w:rFonts w:ascii="Arial" w:hAnsi="Arial" w:cs="Arial"/>
          <w:sz w:val="22"/>
        </w:rPr>
      </w:pPr>
      <w:r w:rsidRPr="009C4381">
        <w:rPr>
          <w:rFonts w:ascii="Arial" w:hAnsi="Arial" w:cs="Arial"/>
          <w:sz w:val="22"/>
        </w:rPr>
        <w:t xml:space="preserve">Der Median des Instandhaltungskostensatzes </w:t>
      </w:r>
      <w:r w:rsidRPr="008F19CF">
        <w:rPr>
          <w:rFonts w:ascii="Arial" w:hAnsi="Arial" w:cs="Arial"/>
          <w:sz w:val="22"/>
        </w:rPr>
        <w:t>ist von 16,78 Euro/m² deutlich auf 17,75 Euro/m² pro Jahr angestiegen. Auch das arithmetische Mittel erhöhte sich im Jahr 2022 von 17,49 Euro/m² auf 18,12 Euro/m². Die Spannweite reichte von 3,47 Euro/m² bis zu 46,09 Euro/m². Der Anstieg dürfte auf zwei Hauptgründe zurückzuführen sein: Zum einen steigt mit der Alterung der Bauteile von Jahr zu Jahr die Notwendigkeit von Instandhaltungs- und Instandsetzungsmaßnahmen, zum anderen schlugen sich die steigenden Preise für Baustoffe und Energie sowie gestiegene Löhne nieder.</w:t>
      </w:r>
      <w:r w:rsidR="002B18AC">
        <w:rPr>
          <w:rFonts w:ascii="Arial" w:hAnsi="Arial" w:cs="Arial"/>
          <w:sz w:val="22"/>
        </w:rPr>
        <w:t xml:space="preserve"> </w:t>
      </w:r>
      <w:r w:rsidR="000617F0" w:rsidRPr="008F19CF">
        <w:rPr>
          <w:rFonts w:ascii="Arial" w:hAnsi="Arial" w:cs="Arial"/>
          <w:sz w:val="22"/>
        </w:rPr>
        <w:t xml:space="preserve">Dies </w:t>
      </w:r>
      <w:r w:rsidR="00964A0D">
        <w:rPr>
          <w:rFonts w:ascii="Arial" w:hAnsi="Arial" w:cs="Arial"/>
          <w:sz w:val="22"/>
        </w:rPr>
        <w:t xml:space="preserve">wirkt </w:t>
      </w:r>
      <w:r w:rsidR="000617F0" w:rsidRPr="008F19CF">
        <w:rPr>
          <w:rFonts w:ascii="Arial" w:hAnsi="Arial" w:cs="Arial"/>
          <w:sz w:val="22"/>
        </w:rPr>
        <w:t xml:space="preserve">sich auch auf den Wert der Investitionen in den Bestand </w:t>
      </w:r>
      <w:r w:rsidR="00964A0D">
        <w:rPr>
          <w:rFonts w:ascii="Arial" w:hAnsi="Arial" w:cs="Arial"/>
          <w:sz w:val="22"/>
        </w:rPr>
        <w:t>aus</w:t>
      </w:r>
      <w:r w:rsidR="000617F0" w:rsidRPr="008F19CF">
        <w:rPr>
          <w:rFonts w:ascii="Arial" w:hAnsi="Arial" w:cs="Arial"/>
          <w:sz w:val="22"/>
        </w:rPr>
        <w:t>. Dort sind sowohl die Instandhaltungs- als auch die Instandsetzungs- und Modernisierungsaufwendungen enthalten. Seit dem Jahr 2015 war ein Anstieg zu verzeichnen. Im Jahr 2021 kam es zu einem leichten Rückgang</w:t>
      </w:r>
      <w:r w:rsidRPr="008F19CF">
        <w:rPr>
          <w:rFonts w:ascii="Arial" w:hAnsi="Arial" w:cs="Arial"/>
          <w:sz w:val="22"/>
        </w:rPr>
        <w:t>,</w:t>
      </w:r>
      <w:r w:rsidR="000617F0" w:rsidRPr="008F19CF">
        <w:rPr>
          <w:rFonts w:ascii="Arial" w:hAnsi="Arial" w:cs="Arial"/>
          <w:sz w:val="22"/>
        </w:rPr>
        <w:t xml:space="preserve"> </w:t>
      </w:r>
      <w:r w:rsidRPr="008F19CF">
        <w:rPr>
          <w:rFonts w:ascii="Arial" w:hAnsi="Arial" w:cs="Arial"/>
          <w:sz w:val="22"/>
        </w:rPr>
        <w:t>um im Jahr 2022</w:t>
      </w:r>
      <w:r w:rsidR="000617F0" w:rsidRPr="008F19CF">
        <w:rPr>
          <w:rFonts w:ascii="Arial" w:hAnsi="Arial" w:cs="Arial"/>
          <w:sz w:val="22"/>
        </w:rPr>
        <w:t xml:space="preserve"> im Durchschnitt aller Unternehmen </w:t>
      </w:r>
      <w:r w:rsidRPr="008F19CF">
        <w:rPr>
          <w:rFonts w:ascii="Arial" w:hAnsi="Arial" w:cs="Arial"/>
          <w:sz w:val="22"/>
        </w:rPr>
        <w:t xml:space="preserve">wieder auf </w:t>
      </w:r>
      <w:r w:rsidR="000617F0" w:rsidRPr="008F19CF">
        <w:rPr>
          <w:rFonts w:ascii="Arial" w:hAnsi="Arial" w:cs="Arial"/>
          <w:sz w:val="22"/>
        </w:rPr>
        <w:t>2</w:t>
      </w:r>
      <w:r w:rsidRPr="008F19CF">
        <w:rPr>
          <w:rFonts w:ascii="Arial" w:hAnsi="Arial" w:cs="Arial"/>
          <w:sz w:val="22"/>
        </w:rPr>
        <w:t>8,82</w:t>
      </w:r>
      <w:r w:rsidR="000617F0" w:rsidRPr="008F19CF">
        <w:rPr>
          <w:rFonts w:ascii="Arial" w:hAnsi="Arial" w:cs="Arial"/>
          <w:sz w:val="22"/>
        </w:rPr>
        <w:t xml:space="preserve"> Euro/m² pro Jahr (202</w:t>
      </w:r>
      <w:r w:rsidRPr="008F19CF">
        <w:rPr>
          <w:rFonts w:ascii="Arial" w:hAnsi="Arial" w:cs="Arial"/>
          <w:sz w:val="22"/>
        </w:rPr>
        <w:t>1</w:t>
      </w:r>
      <w:r w:rsidR="000617F0" w:rsidRPr="008F19CF">
        <w:rPr>
          <w:rFonts w:ascii="Arial" w:hAnsi="Arial" w:cs="Arial"/>
          <w:sz w:val="22"/>
        </w:rPr>
        <w:t>: 27,</w:t>
      </w:r>
      <w:r w:rsidRPr="008F19CF">
        <w:rPr>
          <w:rFonts w:ascii="Arial" w:hAnsi="Arial" w:cs="Arial"/>
          <w:sz w:val="22"/>
        </w:rPr>
        <w:t>26</w:t>
      </w:r>
      <w:r w:rsidR="000617F0" w:rsidRPr="008F19CF">
        <w:rPr>
          <w:rFonts w:ascii="Arial" w:hAnsi="Arial" w:cs="Arial"/>
          <w:sz w:val="22"/>
        </w:rPr>
        <w:t xml:space="preserve"> Euro/m²)</w:t>
      </w:r>
      <w:r w:rsidRPr="008F19CF">
        <w:rPr>
          <w:rFonts w:ascii="Arial" w:hAnsi="Arial" w:cs="Arial"/>
          <w:sz w:val="22"/>
        </w:rPr>
        <w:t xml:space="preserve"> anzusteigen</w:t>
      </w:r>
      <w:r w:rsidR="000617F0" w:rsidRPr="008F19CF">
        <w:rPr>
          <w:rFonts w:ascii="Arial" w:hAnsi="Arial" w:cs="Arial"/>
          <w:sz w:val="22"/>
        </w:rPr>
        <w:t>. Der Median lag bei 2</w:t>
      </w:r>
      <w:r w:rsidRPr="008F19CF">
        <w:rPr>
          <w:rFonts w:ascii="Arial" w:hAnsi="Arial" w:cs="Arial"/>
          <w:sz w:val="22"/>
        </w:rPr>
        <w:t>5,44</w:t>
      </w:r>
      <w:r w:rsidR="000617F0" w:rsidRPr="008F19CF">
        <w:rPr>
          <w:rFonts w:ascii="Arial" w:hAnsi="Arial" w:cs="Arial"/>
          <w:sz w:val="22"/>
        </w:rPr>
        <w:t xml:space="preserve"> Euro/m² (202</w:t>
      </w:r>
      <w:r w:rsidRPr="008F19CF">
        <w:rPr>
          <w:rFonts w:ascii="Arial" w:hAnsi="Arial" w:cs="Arial"/>
          <w:sz w:val="22"/>
        </w:rPr>
        <w:t>1</w:t>
      </w:r>
      <w:r w:rsidR="000617F0" w:rsidRPr="008F19CF">
        <w:rPr>
          <w:rFonts w:ascii="Arial" w:hAnsi="Arial" w:cs="Arial"/>
          <w:sz w:val="22"/>
        </w:rPr>
        <w:t>: 22,</w:t>
      </w:r>
      <w:r w:rsidRPr="008F19CF">
        <w:rPr>
          <w:rFonts w:ascii="Arial" w:hAnsi="Arial" w:cs="Arial"/>
          <w:sz w:val="22"/>
        </w:rPr>
        <w:t>36</w:t>
      </w:r>
      <w:r w:rsidR="000617F0" w:rsidRPr="008F19CF">
        <w:rPr>
          <w:rFonts w:ascii="Arial" w:hAnsi="Arial" w:cs="Arial"/>
          <w:sz w:val="22"/>
        </w:rPr>
        <w:t xml:space="preserve"> Euro/m²). </w:t>
      </w:r>
      <w:r w:rsidR="00964A0D">
        <w:rPr>
          <w:rFonts w:ascii="Arial" w:hAnsi="Arial" w:cs="Arial"/>
          <w:sz w:val="22"/>
        </w:rPr>
        <w:t>Das vtw-Präventionsmanagement sieht für die Investitionen in den Bestand mindestens</w:t>
      </w:r>
      <w:r w:rsidR="000617F0" w:rsidRPr="008F19CF">
        <w:rPr>
          <w:rFonts w:ascii="Arial" w:hAnsi="Arial" w:cs="Arial"/>
          <w:sz w:val="22"/>
        </w:rPr>
        <w:t xml:space="preserve"> 2</w:t>
      </w:r>
      <w:r w:rsidRPr="008F19CF">
        <w:rPr>
          <w:rFonts w:ascii="Arial" w:hAnsi="Arial" w:cs="Arial"/>
          <w:sz w:val="22"/>
        </w:rPr>
        <w:t>5</w:t>
      </w:r>
      <w:r w:rsidR="000617F0" w:rsidRPr="008F19CF">
        <w:rPr>
          <w:rFonts w:ascii="Arial" w:hAnsi="Arial" w:cs="Arial"/>
          <w:sz w:val="22"/>
        </w:rPr>
        <w:t>,00 Euro/m² jährlich</w:t>
      </w:r>
      <w:r w:rsidR="00964A0D">
        <w:rPr>
          <w:rFonts w:ascii="Arial" w:hAnsi="Arial" w:cs="Arial"/>
          <w:sz w:val="22"/>
        </w:rPr>
        <w:t xml:space="preserve"> als erforderlich an.</w:t>
      </w:r>
      <w:r w:rsidR="000617F0" w:rsidRPr="008F19CF">
        <w:rPr>
          <w:rFonts w:ascii="Arial" w:hAnsi="Arial" w:cs="Arial"/>
          <w:sz w:val="22"/>
        </w:rPr>
        <w:t xml:space="preserve"> </w:t>
      </w:r>
    </w:p>
    <w:p w14:paraId="1E0EE684" w14:textId="77777777" w:rsidR="000617F0" w:rsidRPr="008F19CF" w:rsidRDefault="000617F0" w:rsidP="008F19CF">
      <w:pPr>
        <w:rPr>
          <w:rFonts w:ascii="Arial" w:hAnsi="Arial" w:cs="Arial"/>
          <w:sz w:val="22"/>
        </w:rPr>
      </w:pPr>
    </w:p>
    <w:p w14:paraId="4246E157" w14:textId="07151170" w:rsidR="008B4373" w:rsidRDefault="008F19CF" w:rsidP="008B4373">
      <w:pPr>
        <w:rPr>
          <w:rFonts w:ascii="Arial" w:hAnsi="Arial" w:cs="Arial"/>
          <w:sz w:val="22"/>
        </w:rPr>
      </w:pPr>
      <w:r w:rsidRPr="008F19CF">
        <w:rPr>
          <w:rFonts w:ascii="Arial" w:hAnsi="Arial" w:cs="Arial"/>
          <w:sz w:val="22"/>
        </w:rPr>
        <w:t xml:space="preserve">Die Preissteigerungen im Jahr 2022 haben </w:t>
      </w:r>
      <w:r w:rsidRPr="009C4381">
        <w:rPr>
          <w:rFonts w:ascii="Arial" w:hAnsi="Arial" w:cs="Arial"/>
          <w:sz w:val="22"/>
        </w:rPr>
        <w:t>sich auch auf die Verwaltungskosten niedergeschlagen</w:t>
      </w:r>
      <w:r w:rsidRPr="008F19CF">
        <w:rPr>
          <w:rFonts w:ascii="Arial" w:hAnsi="Arial" w:cs="Arial"/>
          <w:sz w:val="22"/>
        </w:rPr>
        <w:t xml:space="preserve">. Diese stiegen im Durchschnitt der Unternehmen deutlich auf 477 Euro/Einheit (2021:437 Euro/Einheit) an. Der Median aller beteiligten Unternehmen lag </w:t>
      </w:r>
      <w:r>
        <w:rPr>
          <w:rFonts w:ascii="Arial" w:hAnsi="Arial" w:cs="Arial"/>
          <w:sz w:val="22"/>
        </w:rPr>
        <w:t>bei</w:t>
      </w:r>
      <w:r w:rsidRPr="008F19CF">
        <w:rPr>
          <w:rFonts w:ascii="Arial" w:hAnsi="Arial" w:cs="Arial"/>
          <w:sz w:val="22"/>
        </w:rPr>
        <w:t xml:space="preserve"> 463 Euro/Einheit (2021: 435 Euro/Einheit)</w:t>
      </w:r>
      <w:r>
        <w:rPr>
          <w:rFonts w:ascii="Arial" w:hAnsi="Arial" w:cs="Arial"/>
          <w:sz w:val="22"/>
        </w:rPr>
        <w:t>.</w:t>
      </w:r>
      <w:r w:rsidRPr="008F19CF">
        <w:rPr>
          <w:rFonts w:ascii="Arial" w:hAnsi="Arial" w:cs="Arial"/>
          <w:sz w:val="22"/>
        </w:rPr>
        <w:t xml:space="preserve"> Nach wie vor ist der Wert des Medians, so wie auch in den Vorjahren, niedriger als der arithmetische Mittelwert. Dies ist ein Zeichen dafür, dass es einige Unternehmen mit hohen Werten gibt, die sich auf den Mittelwert ausgewirkt haben. Die Spanne der Verwaltungskosten reicht von 242 bis 915 Euro/Einheit.</w:t>
      </w:r>
      <w:r w:rsidR="008B4373">
        <w:rPr>
          <w:rFonts w:ascii="Arial" w:hAnsi="Arial" w:cs="Arial"/>
          <w:sz w:val="22"/>
        </w:rPr>
        <w:t xml:space="preserve"> </w:t>
      </w:r>
      <w:r w:rsidR="008B4373">
        <w:rPr>
          <w:rFonts w:ascii="Arial" w:hAnsi="Arial" w:cs="Arial"/>
          <w:sz w:val="22"/>
        </w:rPr>
        <w:br w:type="page"/>
      </w:r>
    </w:p>
    <w:p w14:paraId="4B9E004F" w14:textId="2AA8D416" w:rsidR="000617F0" w:rsidRPr="008B4373" w:rsidRDefault="000617F0" w:rsidP="008F19CF">
      <w:pPr>
        <w:rPr>
          <w:rFonts w:ascii="Arial" w:hAnsi="Arial" w:cs="Arial"/>
          <w:sz w:val="22"/>
        </w:rPr>
      </w:pPr>
      <w:r w:rsidRPr="008B4373">
        <w:rPr>
          <w:rFonts w:ascii="Arial" w:hAnsi="Arial" w:cs="Arial"/>
          <w:sz w:val="22"/>
        </w:rPr>
        <w:lastRenderedPageBreak/>
        <w:t>Eine weitere Kennzahl zur Einschätzung von Produktivität und Kosten ist das EBITDA, das Ergebnis vor Steuern, Zinsen und Abschreibung, bezogen auf die Wohnnutzfläche. Dieses betrug 202</w:t>
      </w:r>
      <w:r w:rsidR="008B4373" w:rsidRPr="008B4373">
        <w:rPr>
          <w:rFonts w:ascii="Arial" w:hAnsi="Arial" w:cs="Arial"/>
          <w:sz w:val="22"/>
        </w:rPr>
        <w:t>2</w:t>
      </w:r>
      <w:r w:rsidRPr="008B4373">
        <w:rPr>
          <w:rFonts w:ascii="Arial" w:hAnsi="Arial" w:cs="Arial"/>
          <w:sz w:val="22"/>
        </w:rPr>
        <w:t xml:space="preserve"> im Durchschnitt der Unternehmen 29,</w:t>
      </w:r>
      <w:r w:rsidR="008B4373" w:rsidRPr="008B4373">
        <w:rPr>
          <w:rFonts w:ascii="Arial" w:hAnsi="Arial" w:cs="Arial"/>
          <w:sz w:val="22"/>
        </w:rPr>
        <w:t>92</w:t>
      </w:r>
      <w:r w:rsidRPr="008B4373">
        <w:rPr>
          <w:rFonts w:ascii="Arial" w:hAnsi="Arial" w:cs="Arial"/>
          <w:sz w:val="22"/>
        </w:rPr>
        <w:t xml:space="preserve"> Euro/m². Der Median lag bei 2</w:t>
      </w:r>
      <w:r w:rsidR="008B4373" w:rsidRPr="008B4373">
        <w:rPr>
          <w:rFonts w:ascii="Arial" w:hAnsi="Arial" w:cs="Arial"/>
          <w:sz w:val="22"/>
        </w:rPr>
        <w:t>9,09</w:t>
      </w:r>
      <w:r w:rsidRPr="008B4373">
        <w:rPr>
          <w:rFonts w:ascii="Arial" w:hAnsi="Arial" w:cs="Arial"/>
          <w:sz w:val="22"/>
        </w:rPr>
        <w:t xml:space="preserve"> Euro/m². Im Vergleich zum Vorjahr haben sich nur marginale Veränderungen ergeben. </w:t>
      </w:r>
    </w:p>
    <w:p w14:paraId="077EBC15" w14:textId="77777777" w:rsidR="000617F0" w:rsidRPr="003C3088" w:rsidRDefault="000617F0" w:rsidP="003C3088">
      <w:pPr>
        <w:rPr>
          <w:rFonts w:ascii="Arial" w:hAnsi="Arial" w:cs="Arial"/>
          <w:sz w:val="22"/>
        </w:rPr>
      </w:pPr>
    </w:p>
    <w:p w14:paraId="199D4D11" w14:textId="34211126" w:rsidR="003C3088" w:rsidRPr="003C3088" w:rsidRDefault="003C3088" w:rsidP="003C3088">
      <w:pPr>
        <w:jc w:val="both"/>
        <w:rPr>
          <w:rFonts w:ascii="Arial" w:hAnsi="Arial" w:cs="Arial"/>
          <w:sz w:val="22"/>
        </w:rPr>
      </w:pPr>
      <w:r w:rsidRPr="003C3088">
        <w:rPr>
          <w:rFonts w:ascii="Arial" w:hAnsi="Arial" w:cs="Arial"/>
          <w:sz w:val="22"/>
        </w:rPr>
        <w:t>Der Anstieg des Zinsniveaus ab Sommer 2022 hat sich bisher noch nicht gravierend auf die entsprechenden Kennzahlen des Betriebsvergleichs niedergeschlagen. Auch im Jahr 2022 ist die Zinsquote, d. h. das Verhältnis der zu leistenden Zinsen zu den vereinnahmten Mieten (</w:t>
      </w:r>
      <w:proofErr w:type="spellStart"/>
      <w:r w:rsidRPr="003C3088">
        <w:rPr>
          <w:rFonts w:ascii="Arial" w:hAnsi="Arial" w:cs="Arial"/>
          <w:sz w:val="22"/>
        </w:rPr>
        <w:t>Istmiete</w:t>
      </w:r>
      <w:proofErr w:type="spellEnd"/>
      <w:r w:rsidRPr="003C3088">
        <w:rPr>
          <w:rFonts w:ascii="Arial" w:hAnsi="Arial" w:cs="Arial"/>
          <w:sz w:val="22"/>
        </w:rPr>
        <w:t>), weiter gesunken, allerdings deutlich schwächer als in den Vorjahren. Der Median ging auf 4,5 % (2021: 5,2 %), der arithmetische Mittelwert auf 5,3 % (2021: 6,1 %) zurück. In Analogie zur Zinsquote unterscheidet sich auch die Kapitaldienstquote der Genossenschaften von den Werten der Gesellschaften. Im Durchschnitt der Genossenschaften belief sich die</w:t>
      </w:r>
      <w:r>
        <w:rPr>
          <w:rFonts w:ascii="Arial" w:hAnsi="Arial" w:cs="Arial"/>
          <w:sz w:val="22"/>
        </w:rPr>
        <w:t>se</w:t>
      </w:r>
      <w:r w:rsidRPr="003C3088">
        <w:rPr>
          <w:rFonts w:ascii="Arial" w:hAnsi="Arial" w:cs="Arial"/>
          <w:sz w:val="22"/>
        </w:rPr>
        <w:t xml:space="preserve"> 2022 auf 31,1 % (2021: 31,9 %), im Durchschnitt der Gesellschaften wurden 35,5 % (2021: 37,3 %) ausgewiesen. Die durchschnittlich höhere Verschuldung der Gesellschaften sowie die Schuldenfreiheit einiger Genossenschaften schlagen sich auch hier nieder.</w:t>
      </w:r>
    </w:p>
    <w:p w14:paraId="651C2810" w14:textId="77777777" w:rsidR="003C3088" w:rsidRDefault="003C3088" w:rsidP="003C3088">
      <w:pPr>
        <w:jc w:val="both"/>
        <w:rPr>
          <w:rFonts w:ascii="Arial" w:hAnsi="Arial" w:cs="Arial"/>
          <w:sz w:val="22"/>
        </w:rPr>
      </w:pPr>
    </w:p>
    <w:p w14:paraId="5D499120" w14:textId="10FBA14D" w:rsidR="000F3372" w:rsidRDefault="000617F0" w:rsidP="000F3372">
      <w:pPr>
        <w:rPr>
          <w:rFonts w:ascii="Arial" w:hAnsi="Arial" w:cs="Arial"/>
          <w:sz w:val="22"/>
        </w:rPr>
      </w:pPr>
      <w:r w:rsidRPr="000F3372">
        <w:rPr>
          <w:rFonts w:ascii="Arial" w:hAnsi="Arial" w:cs="Arial"/>
          <w:sz w:val="22"/>
        </w:rPr>
        <w:t>Die positive Entwicklung der Eigenkapitalquoten hat sich auch im Jahr 202</w:t>
      </w:r>
      <w:r w:rsidR="000F3372" w:rsidRPr="000F3372">
        <w:rPr>
          <w:rFonts w:ascii="Arial" w:hAnsi="Arial" w:cs="Arial"/>
          <w:sz w:val="22"/>
        </w:rPr>
        <w:t>2</w:t>
      </w:r>
      <w:r w:rsidRPr="000F3372">
        <w:rPr>
          <w:rFonts w:ascii="Arial" w:hAnsi="Arial" w:cs="Arial"/>
          <w:sz w:val="22"/>
        </w:rPr>
        <w:t xml:space="preserve"> fortgesetzt. </w:t>
      </w:r>
      <w:r w:rsidR="000F3372" w:rsidRPr="000F3372">
        <w:rPr>
          <w:rFonts w:ascii="Arial" w:hAnsi="Arial" w:cs="Arial"/>
          <w:sz w:val="22"/>
        </w:rPr>
        <w:t>Die Werte von Median und arithmetischem Mittelwert unterscheiden sich nur wenig. Sie lagen bei 65,3 % bzw. 63,8 %. Im Jahr 2012 betrug der Median der Eigenkapitalquoten 46,7 %. Die Genossenschaften wiesen 48,3 %, die Kapitalgesellschaften</w:t>
      </w:r>
      <w:r w:rsidR="000F3372">
        <w:rPr>
          <w:rFonts w:ascii="Arial" w:hAnsi="Arial" w:cs="Arial"/>
          <w:sz w:val="22"/>
        </w:rPr>
        <w:t xml:space="preserve"> </w:t>
      </w:r>
      <w:r w:rsidR="000F3372" w:rsidRPr="000F3372">
        <w:rPr>
          <w:rFonts w:ascii="Arial" w:hAnsi="Arial" w:cs="Arial"/>
          <w:sz w:val="22"/>
        </w:rPr>
        <w:t>41,6 % aus.</w:t>
      </w:r>
    </w:p>
    <w:p w14:paraId="47CD0F6A" w14:textId="77777777" w:rsidR="000F3372" w:rsidRDefault="000F3372" w:rsidP="000F3372">
      <w:pPr>
        <w:rPr>
          <w:rFonts w:ascii="Arial" w:hAnsi="Arial" w:cs="Arial"/>
          <w:sz w:val="22"/>
        </w:rPr>
      </w:pPr>
    </w:p>
    <w:p w14:paraId="4B5E4396" w14:textId="443FE7AE" w:rsidR="00D02596" w:rsidRPr="008F19CF" w:rsidRDefault="00D02596" w:rsidP="008F19CF">
      <w:pPr>
        <w:rPr>
          <w:rFonts w:ascii="Arial" w:hAnsi="Arial" w:cs="Arial"/>
          <w:sz w:val="22"/>
        </w:rPr>
      </w:pPr>
      <w:r w:rsidRPr="008F19CF">
        <w:rPr>
          <w:rFonts w:ascii="Arial" w:hAnsi="Arial" w:cs="Arial"/>
          <w:sz w:val="22"/>
        </w:rPr>
        <w:t xml:space="preserve">Die wirtschaftliche Basis der Mehrzahl der Wohnungsunternehmen ist nach wie vor stabil. Daran haben auch die sich verschlechternden Rahmenbedingungen vorerst wenig geändert. Das Jahr 2022 war eines der schwierigsten Jahre seit 1989. Es stellte die </w:t>
      </w:r>
      <w:r w:rsidR="00FF2718">
        <w:rPr>
          <w:rFonts w:ascii="Arial" w:hAnsi="Arial" w:cs="Arial"/>
          <w:sz w:val="22"/>
        </w:rPr>
        <w:t>U</w:t>
      </w:r>
      <w:r w:rsidRPr="008F19CF">
        <w:rPr>
          <w:rFonts w:ascii="Arial" w:hAnsi="Arial" w:cs="Arial"/>
          <w:sz w:val="22"/>
        </w:rPr>
        <w:t xml:space="preserve">nternehmen und ihre Mieter vor große Herausforderungen. Im Frühjahr 2022 war durchaus nicht sicher, ob Deutschland ohne nennenswerte Ausfälle in den Bereichen Strom- und Wärmeversorgung die kommenden 12 Monate überstehen würde. Notfallpläne wurden auch von den Wohnungsunternehmen erarbeitet. </w:t>
      </w:r>
      <w:r w:rsidR="00FF2718">
        <w:rPr>
          <w:rFonts w:ascii="Arial" w:hAnsi="Arial" w:cs="Arial"/>
          <w:sz w:val="22"/>
        </w:rPr>
        <w:t>Vieles</w:t>
      </w:r>
      <w:r w:rsidRPr="008F19CF">
        <w:rPr>
          <w:rFonts w:ascii="Arial" w:hAnsi="Arial" w:cs="Arial"/>
          <w:sz w:val="22"/>
        </w:rPr>
        <w:t xml:space="preserve"> wurde darangesetzt, Energie einzusparen.</w:t>
      </w:r>
    </w:p>
    <w:p w14:paraId="7A53BF1C" w14:textId="77777777" w:rsidR="00D02596" w:rsidRPr="008F19CF" w:rsidRDefault="00D02596" w:rsidP="008F19CF">
      <w:pPr>
        <w:rPr>
          <w:rFonts w:ascii="Arial" w:hAnsi="Arial" w:cs="Arial"/>
          <w:sz w:val="22"/>
        </w:rPr>
      </w:pPr>
    </w:p>
    <w:p w14:paraId="79D78B68" w14:textId="4EA84CCA" w:rsidR="00D02596" w:rsidRPr="00D02596" w:rsidRDefault="00D02596" w:rsidP="008F19CF">
      <w:pPr>
        <w:rPr>
          <w:rFonts w:ascii="Arial" w:hAnsi="Arial" w:cs="Arial"/>
          <w:sz w:val="22"/>
        </w:rPr>
      </w:pPr>
      <w:r w:rsidRPr="008F19CF">
        <w:rPr>
          <w:rFonts w:ascii="Arial" w:hAnsi="Arial" w:cs="Arial"/>
          <w:sz w:val="22"/>
        </w:rPr>
        <w:t xml:space="preserve">Die positive Entwicklung der vergangenen Jahre hat sich in Teilbereichen abgeschwächt bzw. stagnierte. So gingen Zins- und Kapitaldienstquoten weniger stark als in der Vergangenheit zurück. Investitionen stiegen nicht in dem Maß, wie es der zweite Sanierungszyklus eigentlich erforderlich machen würde. </w:t>
      </w:r>
      <w:r w:rsidRPr="00D02596">
        <w:rPr>
          <w:rFonts w:ascii="Arial" w:hAnsi="Arial" w:cs="Arial"/>
          <w:sz w:val="22"/>
        </w:rPr>
        <w:t xml:space="preserve">Die erreichten Miethöhen sind nach wie vor niedrig, zu niedrig, um auf dieser Basis die von der Politik geforderten Maßnahmen zum Klimaschutz und die Klimaneutralität des Gebäudebestandes bis 2045 zu realisieren. </w:t>
      </w:r>
    </w:p>
    <w:p w14:paraId="5D0C06E5" w14:textId="77777777" w:rsidR="00D02596" w:rsidRPr="00D02596" w:rsidRDefault="00D02596" w:rsidP="00D02596">
      <w:pPr>
        <w:rPr>
          <w:rFonts w:ascii="Arial" w:hAnsi="Arial" w:cs="Arial"/>
          <w:sz w:val="22"/>
        </w:rPr>
      </w:pPr>
    </w:p>
    <w:p w14:paraId="3171719C" w14:textId="16394575" w:rsidR="00D02596" w:rsidRPr="00D02596" w:rsidRDefault="00D02596" w:rsidP="00D02596">
      <w:pPr>
        <w:rPr>
          <w:rFonts w:ascii="Arial" w:hAnsi="Arial" w:cs="Arial"/>
          <w:sz w:val="22"/>
        </w:rPr>
      </w:pPr>
      <w:r w:rsidRPr="00D02596">
        <w:rPr>
          <w:rFonts w:ascii="Arial" w:hAnsi="Arial" w:cs="Arial"/>
          <w:sz w:val="22"/>
        </w:rPr>
        <w:t xml:space="preserve">Die Unternehmen haben die vergangenen Jahre genutzt, um die Verschuldung abzubauen, um sich Spielräume für neue Investitionen zu schaffen. Vor dem Hintergrund des laufenden zweiten Sanierungszyklus wäre ein sehr deutlicher Anstieg des Instandhaltungskostensatzes und der Investitionen in den Bestand zu erwarten gewesen. Dieser Anstieg fiel eher moderat aus. Hohe Preise für Baumaterialien, der Fachkräftemangel und steigende Zinsen führten dazu, dass Projekte neu gerechnet werden mussten, sich teils verzögerten oder sogar zurückgestellt </w:t>
      </w:r>
      <w:r w:rsidR="00964A0D">
        <w:rPr>
          <w:rFonts w:ascii="Arial" w:hAnsi="Arial" w:cs="Arial"/>
          <w:sz w:val="22"/>
        </w:rPr>
        <w:t>wurden</w:t>
      </w:r>
      <w:r w:rsidRPr="00D02596">
        <w:rPr>
          <w:rFonts w:ascii="Arial" w:hAnsi="Arial" w:cs="Arial"/>
          <w:sz w:val="22"/>
        </w:rPr>
        <w:t xml:space="preserve">. Verschärft wurde die Situation durch eine in Teilen panikartige Gesetzgebung, welche die Unsicherheit </w:t>
      </w:r>
      <w:proofErr w:type="gramStart"/>
      <w:r w:rsidRPr="00D02596">
        <w:rPr>
          <w:rFonts w:ascii="Arial" w:hAnsi="Arial" w:cs="Arial"/>
          <w:sz w:val="22"/>
        </w:rPr>
        <w:t>extrem erhöhte</w:t>
      </w:r>
      <w:proofErr w:type="gramEnd"/>
      <w:r w:rsidRPr="00D02596">
        <w:rPr>
          <w:rFonts w:ascii="Arial" w:hAnsi="Arial" w:cs="Arial"/>
          <w:sz w:val="22"/>
        </w:rPr>
        <w:t xml:space="preserve"> und zu einer deutlichen Investitionszurückhaltung führte.</w:t>
      </w:r>
    </w:p>
    <w:p w14:paraId="68202F28" w14:textId="77777777" w:rsidR="00D02596" w:rsidRPr="00D02596" w:rsidRDefault="00D02596" w:rsidP="00D02596">
      <w:pPr>
        <w:rPr>
          <w:rFonts w:ascii="Arial" w:hAnsi="Arial" w:cs="Arial"/>
          <w:sz w:val="22"/>
        </w:rPr>
      </w:pPr>
    </w:p>
    <w:p w14:paraId="196ACAEC" w14:textId="7E0CABD9" w:rsidR="00FF2718" w:rsidRPr="00D02596" w:rsidRDefault="00D02596" w:rsidP="00FF2718">
      <w:pPr>
        <w:rPr>
          <w:rFonts w:ascii="Arial" w:hAnsi="Arial" w:cs="Arial"/>
          <w:sz w:val="22"/>
        </w:rPr>
      </w:pPr>
      <w:r w:rsidRPr="00D02596">
        <w:rPr>
          <w:rFonts w:ascii="Arial" w:hAnsi="Arial" w:cs="Arial"/>
          <w:sz w:val="22"/>
        </w:rPr>
        <w:t xml:space="preserve">Die Wohnungsunternehmen im vtw haben in der Vergangenheit viel geleistet. Sie stehen auf einer wirtschaftlich soliden Basis, die es zu erhalten gilt. Ambitionierte politische Projekte, die zu einem Verzehr dieser Basis führen würden, können und dürfen, gerade auch im Interesse der Mieter und Mitglieder, nicht toleriert werden. </w:t>
      </w:r>
      <w:r w:rsidR="00FF2718" w:rsidRPr="00D02596">
        <w:rPr>
          <w:rFonts w:ascii="Arial" w:hAnsi="Arial" w:cs="Arial"/>
          <w:sz w:val="22"/>
        </w:rPr>
        <w:t>Die Klimaschutzziele lassen sich von den Unternehmen aus eigener Kraft weder in den urbanen noch den ländlichen Räumen erreichen. Erforderlich sind nachhaltige Zuschüsse.</w:t>
      </w:r>
    </w:p>
    <w:p w14:paraId="5650FB43" w14:textId="30F7742F" w:rsidR="00D02596" w:rsidRPr="00D02596" w:rsidRDefault="00D02596" w:rsidP="00D02596">
      <w:pPr>
        <w:rPr>
          <w:rFonts w:ascii="Arial" w:hAnsi="Arial" w:cs="Arial"/>
          <w:sz w:val="22"/>
        </w:rPr>
      </w:pPr>
    </w:p>
    <w:p w14:paraId="0591F6BD" w14:textId="1B8CE1D9" w:rsidR="00346686" w:rsidRPr="00D02596" w:rsidRDefault="0068621D" w:rsidP="00D02596">
      <w:pPr>
        <w:rPr>
          <w:rFonts w:ascii="Arial" w:hAnsi="Arial" w:cs="Arial"/>
          <w:sz w:val="22"/>
        </w:rPr>
      </w:pPr>
      <w:proofErr w:type="spellStart"/>
      <w:r>
        <w:rPr>
          <w:rFonts w:ascii="Arial" w:hAnsi="Arial" w:cs="Arial"/>
          <w:sz w:val="22"/>
        </w:rPr>
        <w:t>ric</w:t>
      </w:r>
      <w:proofErr w:type="spellEnd"/>
      <w:r>
        <w:rPr>
          <w:rFonts w:ascii="Arial" w:hAnsi="Arial" w:cs="Arial"/>
          <w:sz w:val="22"/>
        </w:rPr>
        <w:t>.</w:t>
      </w:r>
    </w:p>
    <w:sectPr w:rsidR="00346686" w:rsidRPr="00D0259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B3DE6" w14:textId="77777777" w:rsidR="00C2493D" w:rsidRDefault="00C2493D" w:rsidP="008B4373">
      <w:r>
        <w:separator/>
      </w:r>
    </w:p>
  </w:endnote>
  <w:endnote w:type="continuationSeparator" w:id="0">
    <w:p w14:paraId="7164ADFE" w14:textId="77777777" w:rsidR="00C2493D" w:rsidRDefault="00C2493D" w:rsidP="008B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CDE E+ Meta Normal L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343847"/>
      <w:docPartObj>
        <w:docPartGallery w:val="Page Numbers (Bottom of Page)"/>
        <w:docPartUnique/>
      </w:docPartObj>
    </w:sdtPr>
    <w:sdtEndPr/>
    <w:sdtContent>
      <w:p w14:paraId="42C5DBD9" w14:textId="37A2A537" w:rsidR="008B4373" w:rsidRDefault="008B4373">
        <w:pPr>
          <w:pStyle w:val="Fuzeile"/>
          <w:jc w:val="right"/>
        </w:pPr>
        <w:r>
          <w:fldChar w:fldCharType="begin"/>
        </w:r>
        <w:r>
          <w:instrText>PAGE   \* MERGEFORMAT</w:instrText>
        </w:r>
        <w:r>
          <w:fldChar w:fldCharType="separate"/>
        </w:r>
        <w:r>
          <w:t>2</w:t>
        </w:r>
        <w:r>
          <w:fldChar w:fldCharType="end"/>
        </w:r>
      </w:p>
    </w:sdtContent>
  </w:sdt>
  <w:p w14:paraId="086D8A6C" w14:textId="77777777" w:rsidR="008B4373" w:rsidRDefault="008B43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1CBCE" w14:textId="77777777" w:rsidR="00C2493D" w:rsidRDefault="00C2493D" w:rsidP="008B4373">
      <w:r>
        <w:separator/>
      </w:r>
    </w:p>
  </w:footnote>
  <w:footnote w:type="continuationSeparator" w:id="0">
    <w:p w14:paraId="4BDC402C" w14:textId="77777777" w:rsidR="00C2493D" w:rsidRDefault="00C2493D" w:rsidP="008B4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131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6"/>
    <w:rsid w:val="000617F0"/>
    <w:rsid w:val="000823E5"/>
    <w:rsid w:val="000A3412"/>
    <w:rsid w:val="000B3559"/>
    <w:rsid w:val="000F3372"/>
    <w:rsid w:val="00114912"/>
    <w:rsid w:val="001C5310"/>
    <w:rsid w:val="002B18AC"/>
    <w:rsid w:val="002C077A"/>
    <w:rsid w:val="002D6984"/>
    <w:rsid w:val="00346686"/>
    <w:rsid w:val="00373488"/>
    <w:rsid w:val="00395FA9"/>
    <w:rsid w:val="003C3088"/>
    <w:rsid w:val="003C41A9"/>
    <w:rsid w:val="00465112"/>
    <w:rsid w:val="004F4E8D"/>
    <w:rsid w:val="00536A0F"/>
    <w:rsid w:val="005424F1"/>
    <w:rsid w:val="0055561C"/>
    <w:rsid w:val="0059427E"/>
    <w:rsid w:val="00635007"/>
    <w:rsid w:val="00661061"/>
    <w:rsid w:val="0067028C"/>
    <w:rsid w:val="0068621D"/>
    <w:rsid w:val="00692FA7"/>
    <w:rsid w:val="006E1996"/>
    <w:rsid w:val="006F538C"/>
    <w:rsid w:val="0070310B"/>
    <w:rsid w:val="00730F45"/>
    <w:rsid w:val="00734A03"/>
    <w:rsid w:val="007408D7"/>
    <w:rsid w:val="00743628"/>
    <w:rsid w:val="008B4373"/>
    <w:rsid w:val="008F19CF"/>
    <w:rsid w:val="00964A0D"/>
    <w:rsid w:val="00980C42"/>
    <w:rsid w:val="0098242B"/>
    <w:rsid w:val="009A5441"/>
    <w:rsid w:val="009C4381"/>
    <w:rsid w:val="00A00755"/>
    <w:rsid w:val="00A31F2B"/>
    <w:rsid w:val="00A77386"/>
    <w:rsid w:val="00A82457"/>
    <w:rsid w:val="00B133D7"/>
    <w:rsid w:val="00B63F4C"/>
    <w:rsid w:val="00BD75F4"/>
    <w:rsid w:val="00BF792F"/>
    <w:rsid w:val="00C2493D"/>
    <w:rsid w:val="00CE18F9"/>
    <w:rsid w:val="00D02596"/>
    <w:rsid w:val="00E31491"/>
    <w:rsid w:val="00EE6FB6"/>
    <w:rsid w:val="00F61F2D"/>
    <w:rsid w:val="00F7055E"/>
    <w:rsid w:val="00FB3A63"/>
    <w:rsid w:val="00FF2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39DD"/>
  <w15:chartTrackingRefBased/>
  <w15:docId w15:val="{B9AA2DF4-ABD9-49C7-B28D-AC6B853B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7F0"/>
    <w:pPr>
      <w:spacing w:after="0" w:line="240" w:lineRule="auto"/>
    </w:pPr>
    <w:rPr>
      <w:rFonts w:ascii="Times New Roman" w:hAnsi="Times New Roman"/>
      <w:kern w:val="0"/>
      <w:szCs w:val="22"/>
      <w14:ligatures w14:val="none"/>
    </w:rPr>
  </w:style>
  <w:style w:type="paragraph" w:styleId="berschrift1">
    <w:name w:val="heading 1"/>
    <w:basedOn w:val="Standard"/>
    <w:next w:val="Standard"/>
    <w:link w:val="berschrift1Zchn"/>
    <w:uiPriority w:val="9"/>
    <w:qFormat/>
    <w:rsid w:val="00346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6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66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66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66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668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668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668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668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66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66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66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66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66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66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66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66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6686"/>
    <w:rPr>
      <w:rFonts w:eastAsiaTheme="majorEastAsia" w:cstheme="majorBidi"/>
      <w:color w:val="272727" w:themeColor="text1" w:themeTint="D8"/>
    </w:rPr>
  </w:style>
  <w:style w:type="paragraph" w:styleId="Titel">
    <w:name w:val="Title"/>
    <w:basedOn w:val="Standard"/>
    <w:next w:val="Standard"/>
    <w:link w:val="TitelZchn"/>
    <w:uiPriority w:val="10"/>
    <w:qFormat/>
    <w:rsid w:val="0034668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66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66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66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66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46686"/>
    <w:rPr>
      <w:i/>
      <w:iCs/>
      <w:color w:val="404040" w:themeColor="text1" w:themeTint="BF"/>
    </w:rPr>
  </w:style>
  <w:style w:type="paragraph" w:styleId="Listenabsatz">
    <w:name w:val="List Paragraph"/>
    <w:basedOn w:val="Standard"/>
    <w:uiPriority w:val="34"/>
    <w:qFormat/>
    <w:rsid w:val="00346686"/>
    <w:pPr>
      <w:ind w:left="720"/>
      <w:contextualSpacing/>
    </w:pPr>
  </w:style>
  <w:style w:type="character" w:styleId="IntensiveHervorhebung">
    <w:name w:val="Intense Emphasis"/>
    <w:basedOn w:val="Absatz-Standardschriftart"/>
    <w:uiPriority w:val="21"/>
    <w:qFormat/>
    <w:rsid w:val="00346686"/>
    <w:rPr>
      <w:i/>
      <w:iCs/>
      <w:color w:val="0F4761" w:themeColor="accent1" w:themeShade="BF"/>
    </w:rPr>
  </w:style>
  <w:style w:type="paragraph" w:styleId="IntensivesZitat">
    <w:name w:val="Intense Quote"/>
    <w:basedOn w:val="Standard"/>
    <w:next w:val="Standard"/>
    <w:link w:val="IntensivesZitatZchn"/>
    <w:uiPriority w:val="30"/>
    <w:qFormat/>
    <w:rsid w:val="00346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6686"/>
    <w:rPr>
      <w:i/>
      <w:iCs/>
      <w:color w:val="0F4761" w:themeColor="accent1" w:themeShade="BF"/>
    </w:rPr>
  </w:style>
  <w:style w:type="character" w:styleId="IntensiverVerweis">
    <w:name w:val="Intense Reference"/>
    <w:basedOn w:val="Absatz-Standardschriftart"/>
    <w:uiPriority w:val="32"/>
    <w:qFormat/>
    <w:rsid w:val="00346686"/>
    <w:rPr>
      <w:b/>
      <w:bCs/>
      <w:smallCaps/>
      <w:color w:val="0F4761" w:themeColor="accent1" w:themeShade="BF"/>
      <w:spacing w:val="5"/>
    </w:rPr>
  </w:style>
  <w:style w:type="paragraph" w:customStyle="1" w:styleId="Default">
    <w:name w:val="Default"/>
    <w:rsid w:val="000617F0"/>
    <w:pPr>
      <w:autoSpaceDE w:val="0"/>
      <w:autoSpaceDN w:val="0"/>
      <w:adjustRightInd w:val="0"/>
      <w:spacing w:after="0" w:line="240" w:lineRule="auto"/>
    </w:pPr>
    <w:rPr>
      <w:rFonts w:ascii="ABCDE E+ Meta Normal LF" w:hAnsi="ABCDE E+ Meta Normal LF" w:cs="ABCDE E+ Meta Normal LF"/>
      <w:color w:val="000000"/>
      <w:kern w:val="0"/>
      <w14:ligatures w14:val="none"/>
    </w:rPr>
  </w:style>
  <w:style w:type="character" w:customStyle="1" w:styleId="markedcontent">
    <w:name w:val="markedcontent"/>
    <w:basedOn w:val="Absatz-Standardschriftart"/>
    <w:rsid w:val="000617F0"/>
  </w:style>
  <w:style w:type="paragraph" w:customStyle="1" w:styleId="m-ten">
    <w:name w:val="m-ten"/>
    <w:basedOn w:val="Standard"/>
    <w:rsid w:val="000617F0"/>
    <w:pPr>
      <w:spacing w:before="100" w:beforeAutospacing="1" w:after="100" w:afterAutospacing="1"/>
    </w:pPr>
    <w:rPr>
      <w:rFonts w:eastAsia="Times New Roman" w:cs="Times New Roman"/>
      <w:szCs w:val="24"/>
      <w:lang w:eastAsia="de-DE"/>
    </w:rPr>
  </w:style>
  <w:style w:type="character" w:styleId="HTMLDefinition">
    <w:name w:val="HTML Definition"/>
    <w:basedOn w:val="Absatz-Standardschriftart"/>
    <w:uiPriority w:val="99"/>
    <w:semiHidden/>
    <w:unhideWhenUsed/>
    <w:rsid w:val="000617F0"/>
    <w:rPr>
      <w:i/>
      <w:iCs/>
    </w:rPr>
  </w:style>
  <w:style w:type="paragraph" w:customStyle="1" w:styleId="textabsatz">
    <w:name w:val="textabsatz"/>
    <w:basedOn w:val="Standard"/>
    <w:rsid w:val="00F7055E"/>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F7055E"/>
    <w:rPr>
      <w:b/>
      <w:bCs/>
    </w:rPr>
  </w:style>
  <w:style w:type="character" w:styleId="Hyperlink">
    <w:name w:val="Hyperlink"/>
    <w:basedOn w:val="Absatz-Standardschriftart"/>
    <w:semiHidden/>
    <w:unhideWhenUsed/>
    <w:rsid w:val="00F7055E"/>
    <w:rPr>
      <w:color w:val="0000FF"/>
      <w:u w:val="single"/>
    </w:rPr>
  </w:style>
  <w:style w:type="paragraph" w:styleId="StandardWeb">
    <w:name w:val="Normal (Web)"/>
    <w:basedOn w:val="Standard"/>
    <w:uiPriority w:val="99"/>
    <w:semiHidden/>
    <w:unhideWhenUsed/>
    <w:rsid w:val="002C077A"/>
    <w:pPr>
      <w:spacing w:before="100" w:beforeAutospacing="1" w:after="100" w:afterAutospacing="1"/>
    </w:pPr>
    <w:rPr>
      <w:rFonts w:eastAsia="Times New Roman" w:cs="Times New Roman"/>
      <w:szCs w:val="24"/>
      <w:lang w:eastAsia="de-DE"/>
    </w:rPr>
  </w:style>
  <w:style w:type="paragraph" w:styleId="Kopfzeile">
    <w:name w:val="header"/>
    <w:basedOn w:val="Standard"/>
    <w:link w:val="KopfzeileZchn"/>
    <w:uiPriority w:val="99"/>
    <w:unhideWhenUsed/>
    <w:rsid w:val="008B4373"/>
    <w:pPr>
      <w:tabs>
        <w:tab w:val="center" w:pos="4536"/>
        <w:tab w:val="right" w:pos="9072"/>
      </w:tabs>
    </w:pPr>
  </w:style>
  <w:style w:type="character" w:customStyle="1" w:styleId="KopfzeileZchn">
    <w:name w:val="Kopfzeile Zchn"/>
    <w:basedOn w:val="Absatz-Standardschriftart"/>
    <w:link w:val="Kopfzeile"/>
    <w:uiPriority w:val="99"/>
    <w:rsid w:val="008B4373"/>
    <w:rPr>
      <w:rFonts w:ascii="Times New Roman" w:hAnsi="Times New Roman"/>
      <w:kern w:val="0"/>
      <w:szCs w:val="22"/>
      <w14:ligatures w14:val="none"/>
    </w:rPr>
  </w:style>
  <w:style w:type="paragraph" w:styleId="Fuzeile">
    <w:name w:val="footer"/>
    <w:basedOn w:val="Standard"/>
    <w:link w:val="FuzeileZchn"/>
    <w:uiPriority w:val="99"/>
    <w:unhideWhenUsed/>
    <w:rsid w:val="008B4373"/>
    <w:pPr>
      <w:tabs>
        <w:tab w:val="center" w:pos="4536"/>
        <w:tab w:val="right" w:pos="9072"/>
      </w:tabs>
    </w:pPr>
  </w:style>
  <w:style w:type="character" w:customStyle="1" w:styleId="FuzeileZchn">
    <w:name w:val="Fußzeile Zchn"/>
    <w:basedOn w:val="Absatz-Standardschriftart"/>
    <w:link w:val="Fuzeile"/>
    <w:uiPriority w:val="99"/>
    <w:rsid w:val="008B4373"/>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294">
      <w:bodyDiv w:val="1"/>
      <w:marLeft w:val="0"/>
      <w:marRight w:val="0"/>
      <w:marTop w:val="0"/>
      <w:marBottom w:val="0"/>
      <w:divBdr>
        <w:top w:val="none" w:sz="0" w:space="0" w:color="auto"/>
        <w:left w:val="none" w:sz="0" w:space="0" w:color="auto"/>
        <w:bottom w:val="none" w:sz="0" w:space="0" w:color="auto"/>
        <w:right w:val="none" w:sz="0" w:space="0" w:color="auto"/>
      </w:divBdr>
    </w:div>
    <w:div w:id="1697387824">
      <w:bodyDiv w:val="1"/>
      <w:marLeft w:val="0"/>
      <w:marRight w:val="0"/>
      <w:marTop w:val="0"/>
      <w:marBottom w:val="0"/>
      <w:divBdr>
        <w:top w:val="none" w:sz="0" w:space="0" w:color="auto"/>
        <w:left w:val="none" w:sz="0" w:space="0" w:color="auto"/>
        <w:bottom w:val="none" w:sz="0" w:space="0" w:color="auto"/>
        <w:right w:val="none" w:sz="0" w:space="0" w:color="auto"/>
      </w:divBdr>
      <w:divsChild>
        <w:div w:id="1119103562">
          <w:marLeft w:val="0"/>
          <w:marRight w:val="0"/>
          <w:marTop w:val="0"/>
          <w:marBottom w:val="0"/>
          <w:divBdr>
            <w:top w:val="none" w:sz="0" w:space="0" w:color="auto"/>
            <w:left w:val="none" w:sz="0" w:space="0" w:color="auto"/>
            <w:bottom w:val="none" w:sz="0" w:space="0" w:color="auto"/>
            <w:right w:val="none" w:sz="0" w:space="0" w:color="auto"/>
          </w:divBdr>
          <w:divsChild>
            <w:div w:id="1801070456">
              <w:marLeft w:val="0"/>
              <w:marRight w:val="0"/>
              <w:marTop w:val="0"/>
              <w:marBottom w:val="0"/>
              <w:divBdr>
                <w:top w:val="none" w:sz="0" w:space="0" w:color="auto"/>
                <w:left w:val="none" w:sz="0" w:space="0" w:color="auto"/>
                <w:bottom w:val="none" w:sz="0" w:space="0" w:color="auto"/>
                <w:right w:val="none" w:sz="0" w:space="0" w:color="auto"/>
              </w:divBdr>
              <w:divsChild>
                <w:div w:id="465389816">
                  <w:marLeft w:val="0"/>
                  <w:marRight w:val="0"/>
                  <w:marTop w:val="0"/>
                  <w:marBottom w:val="0"/>
                  <w:divBdr>
                    <w:top w:val="none" w:sz="0" w:space="0" w:color="auto"/>
                    <w:left w:val="none" w:sz="0" w:space="0" w:color="auto"/>
                    <w:bottom w:val="none" w:sz="0" w:space="0" w:color="auto"/>
                    <w:right w:val="none" w:sz="0" w:space="0" w:color="auto"/>
                  </w:divBdr>
                  <w:divsChild>
                    <w:div w:id="1026518214">
                      <w:marLeft w:val="0"/>
                      <w:marRight w:val="0"/>
                      <w:marTop w:val="0"/>
                      <w:marBottom w:val="0"/>
                      <w:divBdr>
                        <w:top w:val="none" w:sz="0" w:space="0" w:color="auto"/>
                        <w:left w:val="none" w:sz="0" w:space="0" w:color="auto"/>
                        <w:bottom w:val="none" w:sz="0" w:space="0" w:color="auto"/>
                        <w:right w:val="none" w:sz="0" w:space="0" w:color="auto"/>
                      </w:divBdr>
                      <w:divsChild>
                        <w:div w:id="1702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s.thueringen.de" TargetMode="External"/><Relationship Id="rId3" Type="http://schemas.openxmlformats.org/officeDocument/2006/relationships/settings" Target="settings.xml"/><Relationship Id="rId7" Type="http://schemas.openxmlformats.org/officeDocument/2006/relationships/hyperlink" Target="http://www.destati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3532</Words>
  <Characters>22252</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Richardt, Iris (vtw)</dc:creator>
  <cp:keywords/>
  <dc:description/>
  <cp:lastModifiedBy>Richardt, Iris (vtw)</cp:lastModifiedBy>
  <cp:revision>14</cp:revision>
  <dcterms:created xsi:type="dcterms:W3CDTF">2024-04-12T05:39:00Z</dcterms:created>
  <dcterms:modified xsi:type="dcterms:W3CDTF">2024-05-03T08:50:00Z</dcterms:modified>
</cp:coreProperties>
</file>